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B5BBB" w14:textId="77777777" w:rsidR="00854555" w:rsidRDefault="00B51CC0">
      <w:pPr>
        <w:jc w:val="center"/>
        <w:rPr>
          <w:b/>
          <w:bCs/>
        </w:rPr>
      </w:pPr>
      <w:r>
        <w:rPr>
          <w:b/>
          <w:bCs/>
        </w:rPr>
        <w:t>МИНИСТЕРСТВО ОБРАЗОВАНИЯ РЕСПУБЛИКИ БЕЛАРУСЬ</w:t>
      </w:r>
    </w:p>
    <w:p w14:paraId="410AC39D" w14:textId="77777777" w:rsidR="00854555" w:rsidRDefault="00B51CC0">
      <w:pPr>
        <w:jc w:val="center"/>
        <w:rPr>
          <w:b/>
          <w:bCs/>
        </w:rPr>
      </w:pPr>
      <w:r>
        <w:rPr>
          <w:b/>
          <w:bCs/>
        </w:rPr>
        <w:t>БЕЛОРУССКИЙ ГОСУДАРСТВЕННЫЙ УНИВЕРСИТЕТ</w:t>
      </w:r>
    </w:p>
    <w:p w14:paraId="54FF3E18" w14:textId="77777777" w:rsidR="00854555" w:rsidRDefault="00854555">
      <w:pPr>
        <w:spacing w:line="360" w:lineRule="auto"/>
        <w:jc w:val="center"/>
        <w:rPr>
          <w:b/>
          <w:bCs/>
        </w:rPr>
      </w:pPr>
    </w:p>
    <w:p w14:paraId="5EFDF350" w14:textId="77777777" w:rsidR="00854555" w:rsidRDefault="00B51CC0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Кафедра интеллектуальных и </w:t>
      </w:r>
      <w:proofErr w:type="spellStart"/>
      <w:r>
        <w:rPr>
          <w:b/>
          <w:bCs/>
        </w:rPr>
        <w:t>киберфизических</w:t>
      </w:r>
      <w:proofErr w:type="spellEnd"/>
      <w:r>
        <w:rPr>
          <w:b/>
          <w:bCs/>
        </w:rPr>
        <w:t xml:space="preserve"> систем</w:t>
      </w:r>
    </w:p>
    <w:p w14:paraId="4F6C20AC" w14:textId="77777777" w:rsidR="00854555" w:rsidRDefault="00854555">
      <w:pPr>
        <w:spacing w:after="150" w:line="360" w:lineRule="auto"/>
        <w:jc w:val="center"/>
      </w:pPr>
    </w:p>
    <w:p w14:paraId="022E53CF" w14:textId="77777777" w:rsidR="00854555" w:rsidRDefault="00854555">
      <w:pPr>
        <w:spacing w:after="150" w:line="360" w:lineRule="auto"/>
        <w:jc w:val="center"/>
      </w:pPr>
    </w:p>
    <w:p w14:paraId="4651E033" w14:textId="77777777" w:rsidR="00854555" w:rsidRDefault="00854555">
      <w:pPr>
        <w:spacing w:after="150" w:line="360" w:lineRule="auto"/>
        <w:jc w:val="center"/>
      </w:pPr>
    </w:p>
    <w:p w14:paraId="4E12E09E" w14:textId="77777777" w:rsidR="00854555" w:rsidRDefault="00854555">
      <w:pPr>
        <w:spacing w:after="150" w:line="360" w:lineRule="auto"/>
        <w:jc w:val="center"/>
      </w:pPr>
    </w:p>
    <w:p w14:paraId="453FE0F2" w14:textId="77777777" w:rsidR="00854555" w:rsidRDefault="00854555">
      <w:pPr>
        <w:spacing w:after="150" w:line="360" w:lineRule="auto"/>
        <w:jc w:val="center"/>
      </w:pPr>
    </w:p>
    <w:p w14:paraId="3EA56BB2" w14:textId="77777777" w:rsidR="00854555" w:rsidRDefault="00B51CC0">
      <w:pPr>
        <w:spacing w:after="150" w:line="360" w:lineRule="auto"/>
        <w:jc w:val="center"/>
      </w:pPr>
      <w:r>
        <w:rPr>
          <w:b/>
          <w:bCs/>
        </w:rPr>
        <w:t xml:space="preserve">Лабораторная работа №3</w:t>
      </w:r>
    </w:p>
    <w:p w14:paraId="6B2165F3" w14:textId="77777777" w:rsidR="00854555" w:rsidRDefault="00B51CC0">
      <w:pPr>
        <w:spacing w:after="150" w:line="360" w:lineRule="auto"/>
        <w:jc w:val="center"/>
        <w:rPr>
          <w:b/>
          <w:bCs/>
        </w:rPr>
      </w:pPr>
      <w:r>
        <w:rPr>
          <w:b/>
          <w:bCs/>
        </w:rPr>
        <w:t xml:space="preserve">«Создание UML-диаграмм для графического описания ИС. Создание прототипа интерфейса»</w:t>
      </w:r>
    </w:p>
    <w:p>
      <w:pPr>
        <w:spacing w:after="700" w:line="360" w:lineRule="auto"/>
        <w:jc w:val="center"/>
      </w:pPr>
      <w:r>
        <w:t xml:space="preserve">Проект: «HammerLive» – информационная система для проведения онлайн-аукционов в реальном времени</w:t>
      </w:r>
    </w:p>
    <w:p w14:paraId="7B5116C2" w14:textId="77777777" w:rsidR="00854555" w:rsidRDefault="00B51CC0">
      <w:pPr>
        <w:spacing w:line="360" w:lineRule="auto"/>
        <w:ind w:left="5000"/>
      </w:pPr>
      <w:r>
        <w:t>Выполнили:</w:t>
      </w:r>
    </w:p>
    <w:p w14:paraId="70E2F780" w14:textId="77777777" w:rsidR="00854555" w:rsidRDefault="00B51CC0">
      <w:pPr>
        <w:spacing w:line="360" w:lineRule="auto"/>
        <w:ind w:left="5000"/>
      </w:pPr>
      <w:r>
        <w:t>Студент 4 курса, 5 группы</w:t>
      </w:r>
    </w:p>
    <w:p w14:paraId="4E3DE069" w14:textId="77777777" w:rsidR="00854555" w:rsidRDefault="00B51CC0">
      <w:pPr>
        <w:spacing w:line="360" w:lineRule="auto"/>
        <w:ind w:left="5000"/>
      </w:pPr>
      <w:r>
        <w:t>Сиренко Иван Владиславович</w:t>
      </w:r>
      <w:r>
        <w:br/>
        <w:t>Студент 4 курса, 5 группы</w:t>
      </w:r>
    </w:p>
    <w:p w14:paraId="36D7002D" w14:textId="77777777" w:rsidR="00854555" w:rsidRDefault="00B51CC0">
      <w:pPr>
        <w:spacing w:after="150" w:line="360" w:lineRule="auto"/>
        <w:ind w:left="5000"/>
      </w:pPr>
      <w:proofErr w:type="spellStart"/>
      <w:r>
        <w:t>Гардееня</w:t>
      </w:r>
      <w:proofErr w:type="spellEnd"/>
      <w:r>
        <w:t xml:space="preserve"> Артем Сергеевич</w:t>
      </w:r>
      <w:r>
        <w:br/>
        <w:t>Студентка 4 курса 5 группы</w:t>
      </w:r>
      <w:r>
        <w:br/>
        <w:t>Голуб Александра Владимировна</w:t>
      </w:r>
    </w:p>
    <w:p>
      <w:pPr>
        <w:spacing w:line="360" w:lineRule="auto"/>
        <w:ind w:left="5000"/>
      </w:pPr>
      <w:r>
        <w:t xml:space="preserve">Проверил:</w:t>
      </w:r>
    </w:p>
    <w:p>
      <w:pPr>
        <w:spacing w:line="360" w:lineRule="auto"/>
        <w:ind w:left="5000"/>
      </w:pPr>
      <w:r>
        <w:t xml:space="preserve">преподаватель</w:t>
      </w:r>
    </w:p>
    <w:p>
      <w:pPr>
        <w:spacing w:line="360" w:lineRule="auto"/>
        <w:ind w:left="5000"/>
      </w:pPr>
      <w:r>
        <w:t xml:space="preserve">Ломако Алексей Андреевич</w:t>
      </w:r>
    </w:p>
    <w:p w14:paraId="712E84A1" w14:textId="77777777" w:rsidR="00854555" w:rsidRDefault="00854555">
      <w:pPr>
        <w:spacing w:line="360" w:lineRule="auto"/>
        <w:ind w:left="5000"/>
      </w:pPr>
    </w:p>
    <w:p w14:paraId="20A2FCDE" w14:textId="77777777" w:rsidR="00854555" w:rsidRDefault="00854555">
      <w:pPr>
        <w:spacing w:line="360" w:lineRule="auto"/>
        <w:ind w:left="5000"/>
      </w:pPr>
    </w:p>
    <w:p w14:paraId="0D246F53" w14:textId="77777777" w:rsidR="00854555" w:rsidRDefault="00B51CC0">
      <w:pPr>
        <w:spacing w:line="360" w:lineRule="auto"/>
        <w:jc w:val="center"/>
      </w:pPr>
      <w:r>
        <w:t>Минск, 2026</w:t>
      </w:r>
    </w:p>
    <w:p>
      <w:pPr>
        <w:pageBreakBefore/>
        <w:ind w:firstLine="709"/>
        <w:jc w:val="center"/>
        <w:rPr>
          <w:b/>
          <w:bCs/>
        </w:rPr>
      </w:pPr>
      <w:r>
        <w:rPr>
          <w:b/>
          <w:bCs/>
        </w:rPr>
        <w:t xml:space="preserve">ВВЕДЕНИЕ</w:t>
      </w:r>
    </w:p>
    <w:p>
      <w:pPr>
        <w:ind w:firstLine="709"/>
        <w:jc w:val="center"/>
      </w:pPr>
    </w:p>
    <w:p>
      <w:pPr>
        <w:ind w:firstLine="709"/>
        <w:jc w:val="both"/>
      </w:pPr>
      <w:r>
        <w:t xml:space="preserve">В работе выполнено графическое описание информационной системы HammerLive, требования к которой определены в техническом задании (Лабораторная работа №2). Разработаны четыре UML-диаграммы: сценариев использования, компонентов, активностей и последовательностей. На их основе спроектирован прототип интерфейса (вайрфреймы) для ключевого сценария «Участие в торгах», дано обоснование его решений с позиций эвристик Нильсена и законов Хика и Фиттса, сформулированы требования к финальной реализации интерфейса, включая требования доступности.</w:t>
      </w:r>
    </w:p>
    <w:p>
      <w:pPr>
        <w:pStyle w:val="1"/>
      </w:pPr>
      <w:r>
        <w:t xml:space="preserve">РАЗДЕЛ 1. UML-ДИАГРАММЫ ИС HAMMERLIVE</w:t>
      </w:r>
    </w:p>
    <w:p>
      <w:pPr>
        <w:keepNext/>
        <w:pStyle w:val="2"/>
        <w:ind w:firstLine="709"/>
      </w:pPr>
      <w:r>
        <w:t xml:space="preserve">1.1. Диаграмма сценариев использования</w:t>
      </w:r>
    </w:p>
    <w:p>
      <w:pPr>
        <w:ind w:firstLine="709"/>
        <w:jc w:val="both"/>
      </w:pPr>
      <w:r>
        <w:t xml:space="preserve">Диаграмма сценариев использования (рисунок 1) показывает, кто и с какой целью взаимодействует с Системой. Действующие лица соответствуют ролям из ТЗ: гость, участник торгов, организатор, аукционист, модератор, а также внешний платёжный провайдер. Организатор готовит аукцион и лоты, а аукционист ведёт сами торги – у этих ролей разные пользовательские интерфейсы. Участник торгов является наследником гостя: ему доступны все возможности гостя (просмотр каталога, регистрация) и дополнительно функции участия в торгах.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680000" cy="4808602"/>
            <wp:docPr id="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0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Рисунок 1 – Диаграмма сценариев использования ИС HammerLive</w:t>
      </w:r>
    </w:p>
    <w:p>
      <w:pPr>
        <w:ind w:firstLine="709"/>
        <w:jc w:val="both"/>
      </w:pPr>
      <w:r>
        <w:t xml:space="preserve">Основные сценарии взаимодействия: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 xml:space="preserve">«Зарегистрироваться на аукцион»</w:t>
      </w:r>
      <w:r>
        <w:t xml:space="preserve"> – участник принимает правила торгов; сценарий всегда включает (&lt;&lt;include&gt;&gt;) холдирование гарантийного депозита, выполняемое платёжным провайдером;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 xml:space="preserve">«Сделать ставку»</w:t>
      </w:r>
      <w:r>
        <w:t xml:space="preserve"> – центральный сценарий системы; его расширяет (&lt;&lt;extend&gt;&gt;) сценарий «Настроить автоставку», который выполняется только по желанию участника;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 xml:space="preserve">«Оплатить выигрыш»</w:t>
      </w:r>
      <w:r>
        <w:t xml:space="preserve"> – автоматическое списание суммы выигрыша с привязанной карты через платёжного провайдера;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 xml:space="preserve">«Провести торги»</w:t>
      </w:r>
      <w:r>
        <w:t xml:space="preserve"> – аукционист управляет сеансом аукциона; сценарий включает запуск видеотрансляции;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 xml:space="preserve">«Зафиксировать ставку из зала»</w:t>
      </w:r>
      <w:r>
        <w:t xml:space="preserve"> – аукционист вводит ставки участников, присутствующих в зале, и они попадают в общий поток ставок наравне с онлайн-ставками;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 xml:space="preserve">«Модерировать лоты»</w:t>
      </w:r>
      <w:r>
        <w:t xml:space="preserve"> и </w:t>
      </w:r>
      <w:r>
        <w:rPr>
          <w:b/>
          <w:bCs/>
        </w:rPr>
        <w:t xml:space="preserve">«Разрешить спор»</w:t>
      </w:r>
      <w:r>
        <w:t xml:space="preserve"> – функции модератора, обеспечивающие доверие к площадке.</w:t>
      </w:r>
    </w:p>
    <w:p>
      <w:pPr>
        <w:keepNext/>
        <w:pStyle w:val="2"/>
        <w:ind w:firstLine="709"/>
      </w:pPr>
      <w:r>
        <w:t xml:space="preserve">1.2. Диаграмма компонентов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0000" cy="5718857"/>
            <wp:docPr id="1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Рисунок 2 – Диаграмма компонентов ИС HammerLive</w:t>
      </w:r>
    </w:p>
    <w:p>
      <w:pPr>
        <w:ind w:firstLine="709"/>
        <w:jc w:val="both"/>
      </w:pPr>
      <w:r>
        <w:t xml:space="preserve">Диаграмма компонентов (рисунок 2) отражает микросервисную архитектуру ядра торгов. Компоненты взаимодействуют только через порты (квадраты на границе компонента) и именованные интерфейсы: компонент, предоставляющий интерфейс, обозначен кружком, а компонент, который его использует, – полукругом. Клиент участника и пульт аукциониста используют интерфейсы IClientAPI и IAuctioneerAPI, которые предоставляет API Gateway. Шлюз, в свою очередь, использует интерфейсы шести сервисов: ISessionAPI (AuctionSession, синхронный REST), IAuctioneerBids и IBids (захватчики ставок, асинхронные сообщения AMQP), IBidStream и IVideoStream (потоки ставок и видео для участников по WebSocket и WebRTC) и IVideoIngest (приём видео с камеры по RTP).</w:t>
      </w:r>
    </w:p>
    <w:p>
      <w:pPr>
        <w:ind w:firstLine="709"/>
        <w:jc w:val="both"/>
      </w:pPr>
      <w:r>
        <w:t xml:space="preserve">Приём ставок разделён на два компонента: BidCapture принимает онлайн-ставки участников, AuctioneerCapture – ставки, которые вводит аукционист. Им нужны разные архитектурные свойства: первый должен масштабироваться под тысячи участников, второй обслуживает одного пользователя, но с максимальной надёжностью. Оба передают ставки асинхронно через очереди в BidTracker (интерфейсы IBidQueue и IAuctioneerBidQueue), который объединяет два потока, упорядочивает ставки, проверяет их и сохраняет в журнал ставок. Очереди служат буфером, сглаживающим сильно различающуюся скорость входящих потоков. AuctionSession управляет рабочим процессом аукциона (открытие и закрытие лотов) и также сообщает о событиях сеанса через очередь (ISessionEvents).</w:t>
      </w:r>
    </w:p>
    <w:p>
      <w:pPr>
        <w:ind w:firstLine="709"/>
        <w:jc w:val="both"/>
      </w:pPr>
      <w:r>
        <w:t xml:space="preserve">Принятые ставки через очередь передаются в BidStreamer (IAcceptedBids), который формирует поток ставок только для просмотра и рассылает его участникам по WebSocket. Видеопоток из зала принимает VideoCapture и передаёт в VideoStreamer, который раздаёт его участникам по WebRTC. Итоги лотов поступают в Payment (ILotResults), который проводит расчёты через внешнего платёжного провайдера (IPaymentGateway). Данные хранятся по принципу «отдельная база на сервис»: у AuctionSession, BidStreamer, BidTracker и Payment есть собственные хранилища, к которым другие сервисы не обращаются, а BidCapture, AuctioneerCapture и сервисы видео не хранят состояния. Сервисы группируются в пять архитектурных квантов, которые развёртываются и масштабируются независимо: «Аукционист» (AuctionSession, AuctioneerCapture), «Участник» (BidCapture), «Потоки участников» (BidStreamer, VideoStreamer, VideoCapture), «Отслеживание ставок» (BidTracker) и «Платёж» (Payment). При наличии нескольких экземпляров сервиса (например, BidCapture и BidStreamer) они разворачиваются как набор контейнеров. Вспомогательные сервисы из ТЗ (Identity, Catalog, Reputation, Notification) на диаграмме не показаны, так как она описывает ядро торгов.</w:t>
      </w:r>
    </w:p>
    <w:p>
      <w:pPr>
        <w:keepNext/>
        <w:pStyle w:val="2"/>
        <w:ind w:firstLine="709"/>
      </w:pPr>
      <w:r>
        <w:t xml:space="preserve">1.3. Диаграмма активностей</w:t>
      </w:r>
    </w:p>
    <w:p>
      <w:pPr>
        <w:ind w:firstLine="709"/>
        <w:jc w:val="both"/>
      </w:pPr>
      <w:r>
        <w:t xml:space="preserve">Для диаграммы активностей выбран бизнес-процесс «Регистрация участника на аукцион» (рисунок 3), так как он объединяет проверку пользователя, работу с платёжным провайдером и правила допуска, установленные организатором. Дорожки разделяют ответственность между участником, Системой и платёжным провайдером.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320000" cy="4935931"/>
            <wp:docPr id="1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3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Рисунок 3 – Диаграмма активностей процесса регистрации участника на аукцион</w:t>
      </w:r>
    </w:p>
    <w:p>
      <w:pPr>
        <w:ind w:firstLine="709"/>
        <w:jc w:val="both"/>
      </w:pPr>
      <w:r>
        <w:t xml:space="preserve">Процесс содержит четыре точки ветвления. Неавторизованный пользователь сначала входит или регистрируется; при отсутствии привязанной карты он вводит её данные в форме провайдера, который проверяет карту по 3-D Secure и возвращает Системе токен (данные карты в Системе не хранятся). Если индекс репутации ниже порога, заданного организатором, процесс завершается с указанием причины. После принятия правил провайдер холдирует гарантийный депозит; при успехе участник допускается к торгам и получает подтверждение, при неудаче получает сообщение об ошибке оплаты.</w:t>
      </w:r>
    </w:p>
    <w:p>
      <w:pPr>
        <w:keepNext/>
        <w:pStyle w:val="2"/>
        <w:ind w:firstLine="709"/>
      </w:pPr>
      <w:r>
        <w:t xml:space="preserve">1.4. Диаграмма последовательностей</w:t>
      </w:r>
    </w:p>
    <w:p>
      <w:pPr>
        <w:ind w:firstLine="709"/>
        <w:jc w:val="both"/>
      </w:pPr>
      <w:r>
        <w:t xml:space="preserve">Диаграмма последовательностей (рисунок 4) описывает сценарий «Совершение ставки» – наиболее критичный по времени сценарий Системы, для которого ТЗ устанавливает задержку не более 200 мс для 95% ставок.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0000" cy="2881940"/>
            <wp:docPr id="1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Рисунок 4 – Диаграмма последовательностей сценария «Совершение ставки»</w:t>
      </w:r>
    </w:p>
    <w:p>
      <w:pPr>
        <w:ind w:firstLine="709"/>
        <w:jc w:val="both"/>
      </w:pPr>
      <w:r>
        <w:t xml:space="preserve">Ставка передаётся через API Gateway в BidCapture, который присваивает ей серверную отметку времени и помещает в очередь ставок участников. Участник сразу получает подтверждение отправки: дальнейшая обработка асинхронная, поэтому BidCapture не ждёт проверки и не становится узким местом. BidTracker забирает ставку из очереди, объединяет её с потоком ставок аукциониста и проверяет допуск, минимальную сумму и лимит. Фрагмент alt показывает два исхода: принятая ставка записывается в журнал и через очередь передаётся в BidStreamer, который рассылает новую цену всем участникам по WebSocket; отклонённая ставка возвращается участнику тем же путём с причиной и актуальной ценой.</w:t>
      </w:r>
    </w:p>
    <w:p>
      <w:pPr>
        <w:pStyle w:val="1"/>
      </w:pPr>
      <w:r>
        <w:t xml:space="preserve">РАЗДЕЛ 2. ПРОТОТИП ПОЛЬЗОВАТЕЛЬСКОГО ИНТЕРФЕЙСА</w:t>
      </w:r>
    </w:p>
    <w:p>
      <w:pPr>
        <w:keepNext/>
        <w:pStyle w:val="2"/>
        <w:ind w:firstLine="709"/>
      </w:pPr>
      <w:r>
        <w:t xml:space="preserve">2.1. Описание вайрфреймов</w:t>
      </w:r>
    </w:p>
    <w:p>
      <w:pPr>
        <w:ind w:firstLine="709"/>
        <w:jc w:val="both"/>
      </w:pPr>
      <w:r>
        <w:t xml:space="preserve">Для прототипирования выбран ключевой сценарий «Участие в торгах (совершение ставки)»: именно он отличает HammerLive от существующих площадок и предъявляет самые жёсткие требования к скорости реакции пользователя. На рисунке 5 показан экран торгов для настольного браузера, на рисунке 6 – мобильная версия и окно подтверждения произвольной суммы.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0000" cy="3712500"/>
            <wp:docPr id="1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Рисунок 5 – Вайрфрейм экрана торгов (настольная версия)</w:t>
      </w:r>
    </w:p>
    <w:p>
      <w:pPr>
        <w:ind w:firstLine="709"/>
        <w:jc w:val="both"/>
      </w:pPr>
      <w:r>
        <w:t xml:space="preserve">Экран разделён на зоны: </w:t>
      </w:r>
      <w:r>
        <w:rPr>
          <w:b/>
          <w:bCs/>
        </w:rPr>
        <w:t xml:space="preserve">1</w:t>
      </w:r>
      <w:r>
        <w:t xml:space="preserve"> – шапка с навигацией и хлебными крошками («Лот 7 из 24»); </w:t>
      </w:r>
      <w:r>
        <w:rPr>
          <w:b/>
          <w:bCs/>
        </w:rPr>
        <w:t xml:space="preserve">2</w:t>
      </w:r>
      <w:r>
        <w:t xml:space="preserve"> – видеотрансляция с наложенными ценой и таймером; </w:t>
      </w:r>
      <w:r>
        <w:rPr>
          <w:b/>
          <w:bCs/>
        </w:rPr>
        <w:t xml:space="preserve">3</w:t>
      </w:r>
      <w:r>
        <w:t xml:space="preserve"> – карточка лота с оценкой и индексом репутации продавца; </w:t>
      </w:r>
      <w:r>
        <w:rPr>
          <w:b/>
          <w:bCs/>
        </w:rPr>
        <w:t xml:space="preserve">4</w:t>
      </w:r>
      <w:r>
        <w:t xml:space="preserve"> – панель ставки с текущей ценой, лидером, шагом, индикатором времени, основной кнопкой «Ставка 1 300 BYN» и полем своей суммы; </w:t>
      </w:r>
      <w:r>
        <w:rPr>
          <w:b/>
          <w:bCs/>
        </w:rPr>
        <w:t xml:space="preserve">5</w:t>
      </w:r>
      <w:r>
        <w:t xml:space="preserve"> – автоставка; </w:t>
      </w:r>
      <w:r>
        <w:rPr>
          <w:b/>
          <w:bCs/>
        </w:rPr>
        <w:t xml:space="preserve">6</w:t>
      </w:r>
      <w:r>
        <w:t xml:space="preserve"> – история ставок. В мобильной версии зоны выстроены в одну колонку, а основная кнопка закреплена у нижнего края экрана.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140000" cy="3956000"/>
            <wp:docPr id="1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9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Рисунок 6 – Вайрфреймы мобильной версии</w:t>
      </w:r>
    </w:p>
    <w:p>
      <w:pPr>
        <w:keepNext/>
        <w:pStyle w:val="2"/>
        <w:ind w:firstLine="709"/>
      </w:pPr>
      <w:r>
        <w:t xml:space="preserve">2.2. Соответствие эвристикам юзабилити Нильсена</w:t>
      </w:r>
    </w:p>
    <w:p>
      <w:pPr>
        <w:keepNext/>
        <w:spacing w:before="120"/>
      </w:pPr>
      <w:r>
        <w:t xml:space="preserve">Таблица 1 – Реализация эвристик Нильсена в прототипе</w:t>
      </w:r>
    </w:p>
    <w:tbl>
      <w:tblPr>
        <w:tblStyle w:val="a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345"/>
      </w:tblGrid>
      <w:tr>
        <w:trPr>
          <w:cantSplit/>
          <w:tblHeader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Эвристика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Реализация в прототипе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Видимость состояния системы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Текущая цена, лидер, таймер и индикатор времени обновляются в реальном времени; после ставки показывается статус «Вы лидируете» или причина отказа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Соответствие реальному миру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Используются термины аукциона (лот, шаг, ставка, «удар молотка»), суммы указаны в BYN, видео воспроизводит атмосферу живого зала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Контроль и свобода пользователя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Окно своей суммы имеет кнопку «Отмена»; автоставку можно выключить в любой момент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Согласованность и стандарты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Одна основная (тёмная) кнопка на экране, вторичные действия оформлены контурными кнопками; расположение зон одинаково на всех лотах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Предотвращение ошибок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Сумма на основной кнопке уже рассчитана (цена + шаг); для своей суммы показываются минимум и кратность, а при большом превышении цены требуется подтверждение с указанием карты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Узнавание, а не вспоминание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Доступный лимит, размер депозита и собственные ставки в истории («Вы») всегда видны на экране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Простота и эстетика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экране нет рекламы и лишних элементов; описание лота свёрнуто, акцент сделан на видео и панели ставки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Помощь в распознавании ошибок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Сообщение об отказе сформулировано по-русски и содержит причину и актуальную цену, а не код ошибки</w:t>
            </w:r>
          </w:p>
        </w:tc>
      </w:tr>
    </w:tbl>
    <w:p>
      <w:pPr>
        <w:keepNext/>
        <w:pStyle w:val="2"/>
        <w:ind w:firstLine="709"/>
      </w:pPr>
      <w:r>
        <w:t xml:space="preserve">2.3. Обоснование по законам Хика и Фиттса</w:t>
      </w:r>
    </w:p>
    <w:p>
      <w:pPr>
        <w:ind w:firstLine="709"/>
        <w:jc w:val="both"/>
      </w:pPr>
      <w:r>
        <w:rPr>
          <w:b/>
          <w:bCs/>
        </w:rPr>
        <w:t xml:space="preserve">Закон Хика</w:t>
      </w:r>
      <w:r>
        <w:t xml:space="preserve"> описывает время выбора: T = b·log2(n + 1), где n – число равновероятных альтернатив. В панели ставки оставлено три действия: ставка на шаг, своя сумма, автоставка (n = 3, log2 4 = 2 бита). Альтернативный вариант с шестью кнопками быстрых надбавок (+50, +100, +200 BYN и т. д.) дал бы n = 8 и log2 9 ≈ 3,17 бита, то есть увеличил бы время выбора примерно на 58%. При b ≈ 0,2 с это 0,40 с против 0,63 с – существенная разница, когда до закрытия лота остаётся 8–10 секунд. Поэтому наиболее частое действие вынесено в одну кнопку, а редкие спрятаны в отдельное окно.</w:t>
      </w:r>
    </w:p>
    <w:p>
      <w:pPr>
        <w:ind w:firstLine="709"/>
        <w:jc w:val="both"/>
      </w:pPr>
      <w:r>
        <w:rPr>
          <w:b/>
          <w:bCs/>
        </w:rPr>
        <w:t xml:space="preserve">Закон Фиттса</w:t>
      </w:r>
      <w:r>
        <w:t xml:space="preserve"> описывает время наведения на цель: T = a + b·log2(D/W + 1), где D – расстояние до цели, W – её размер. Основная кнопка ставки имеет высоту 72 px и ширину всей панели и расположена рядом с ценой, на которую смотрит пользователь. При D ≈ 400 px индекс трудности составляет log2(400/72 + 1) ≈ 2,71 бита; для стандартной кнопки высотой 30 px он был бы ≈ 3,84 бита, что при b ≈ 0,15 с даёт выигрыш около 0,17 с на каждую ставку. В мобильной версии кнопка занимает всю ширину экрана и закреплена внизу – в зоне досягаемости большого пальца. Опасное действие «Подтвердить ставку» с крупной суммой отделено от основной кнопки отдельным окном, чтобы исключить случайное нажатие.</w:t>
      </w:r>
    </w:p>
    <w:p>
      <w:pPr>
        <w:keepNext/>
        <w:pStyle w:val="2"/>
        <w:ind w:firstLine="709"/>
      </w:pPr>
      <w:r>
        <w:t xml:space="preserve">2.4. Требования к финальной реализации интерфейса</w:t>
      </w:r>
    </w:p>
    <w:p>
      <w:pPr>
        <w:keepNext/>
        <w:spacing w:before="120"/>
      </w:pPr>
      <w:r>
        <w:t xml:space="preserve">Таблица 2 – Требования к UI</w:t>
      </w:r>
    </w:p>
    <w:tbl>
      <w:tblPr>
        <w:tblStyle w:val="a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0"/>
        <w:gridCol w:w="8195"/>
      </w:tblGrid>
      <w:tr>
        <w:trPr>
          <w:cantSplit/>
          <w:tblHeader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8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UI-01</w:t>
            </w:r>
          </w:p>
        </w:tc>
        <w:tc>
          <w:tcPr>
            <w:tcW w:w="8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Экран торгов содержит зоны 1–6 в расположении, показанном на рисунке 5; на ширине менее 768 px зоны выстраиваются в одну колонку согласно рисунку 6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UI-02</w:t>
            </w:r>
          </w:p>
        </w:tc>
        <w:tc>
          <w:tcPr>
            <w:tcW w:w="8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Основная кнопка ставки – единственная акцентная кнопка экрана, высота не менее 64 px, сумма ставки отображается на самой кнопке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UI-03</w:t>
            </w:r>
          </w:p>
        </w:tc>
        <w:tc>
          <w:tcPr>
            <w:tcW w:w="8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Обновление цены, лидера и таймера выполняется без перезагрузки страницы; новая ставка в истории кратко подсвечивается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UI-04</w:t>
            </w:r>
          </w:p>
        </w:tc>
        <w:tc>
          <w:tcPr>
            <w:tcW w:w="8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Произвольная сумма проверяется при вводе (минимум, кратность шагу, лимит); превышение текущей цены более чем на 30% требует подтверждения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UI-05</w:t>
            </w:r>
          </w:p>
        </w:tc>
        <w:tc>
          <w:tcPr>
            <w:tcW w:w="8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После нажатия кнопка блокируется до ответа сервера, чтобы исключить двойную ставку; ответ отображается не позднее 1 с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UI-06</w:t>
            </w:r>
          </w:p>
        </w:tc>
        <w:tc>
          <w:tcPr>
            <w:tcW w:w="8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Палитра – нейтральная с одним акцентным цветом; шрифт без засечек, основной текст не меньше 16 px, цена не меньше 32 px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UI-07</w:t>
            </w:r>
          </w:p>
        </w:tc>
        <w:tc>
          <w:tcPr>
            <w:tcW w:w="8195" w:type="dxa"/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Доступность:</w:t>
            </w:r>
            <w:r>
              <w:rPr>
                <w:sz w:val="24"/>
                <w:szCs w:val="24"/>
              </w:rPr>
              <w:t xml:space="preserve"> соответствие WCAG 2.1 уровня AA; контраст текста не ниже 4,5:1, крупного текста и элементов управления – не ниже 3:1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UI-08</w:t>
            </w:r>
          </w:p>
        </w:tc>
        <w:tc>
          <w:tcPr>
            <w:tcW w:w="8195" w:type="dxa"/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Доступность:</w:t>
            </w:r>
            <w:r>
              <w:rPr>
                <w:sz w:val="24"/>
                <w:szCs w:val="24"/>
              </w:rPr>
              <w:t xml:space="preserve"> все действия выполняются с клавиатуры (Tab, Enter; горячая клавиша ставки с подтверждением), фокус всегда видим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UI-09</w:t>
            </w:r>
          </w:p>
        </w:tc>
        <w:tc>
          <w:tcPr>
            <w:tcW w:w="8195" w:type="dxa"/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Доступность:</w:t>
            </w:r>
            <w:r>
              <w:rPr>
                <w:sz w:val="24"/>
                <w:szCs w:val="24"/>
              </w:rPr>
              <w:t xml:space="preserve"> изменения цены и статуса ставки озвучиваются экранными читалками через ARIA live-регион (не чаще раза в 2 с, чтобы не перегружать пользователя)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UI-10</w:t>
            </w:r>
          </w:p>
        </w:tc>
        <w:tc>
          <w:tcPr>
            <w:tcW w:w="8195" w:type="dxa"/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Доступность:</w:t>
            </w:r>
            <w:r>
              <w:rPr>
                <w:sz w:val="24"/>
                <w:szCs w:val="24"/>
              </w:rPr>
              <w:t xml:space="preserve"> размер активных элементов не менее 44×44 px; информация не передаётся только цветом (лидер отмечается текстом «Вы лидируете»)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UI-11</w:t>
            </w:r>
          </w:p>
        </w:tc>
        <w:tc>
          <w:tcPr>
            <w:tcW w:w="8195" w:type="dxa"/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Доступность:</w:t>
            </w:r>
            <w:r>
              <w:rPr>
                <w:sz w:val="24"/>
                <w:szCs w:val="24"/>
              </w:rPr>
              <w:t xml:space="preserve"> видеотрансляция поддерживает субтитры речи аукциониста; торги возможны и без видео – вся информация дублируется в панели ставки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UI-12</w:t>
            </w:r>
          </w:p>
        </w:tc>
        <w:tc>
          <w:tcPr>
            <w:tcW w:w="8195" w:type="dxa"/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Доступность:</w:t>
            </w:r>
            <w:r>
              <w:rPr>
                <w:sz w:val="24"/>
                <w:szCs w:val="24"/>
              </w:rPr>
              <w:t xml:space="preserve"> интерфейс корректно масштабируется до 200% без горизонтальной прокрутки; учитывается системная настройка уменьшения анимации</w:t>
            </w:r>
          </w:p>
        </w:tc>
      </w:tr>
    </w:tbl>
    <w:p>
      <w:pPr>
        <w:pStyle w:val="1"/>
      </w:pPr>
      <w:r>
        <w:t xml:space="preserve">ЗАКЛЮЧЕНИЕ</w:t>
      </w:r>
    </w:p>
    <w:p>
      <w:pPr>
        <w:ind w:firstLine="709"/>
        <w:jc w:val="both"/>
      </w:pPr>
      <w:r>
        <w:t xml:space="preserve">Разработанные диаграммы описывают одну и ту же систему с разных сторон и согласованы между собой. Диаграмма сценариев использования задаёт внешнюю картину: какие роли из ТЗ что делают в Системе. Каждый её сценарий реализуется компонентами с диаграммы компонентов: «Сделать ставку» – компонентами BidCapture и BidTracker, «Зафиксировать ставку из зала» – компонентом AuctioneerCapture, «Провести торги» – компонентом AuctionSession, «Смотреть видеотрансляцию и поток ставок» – компонентами VideoCapture, VideoStreamer и BidStreamer, «Оплатить выигрыш» – компонентом Payment и платёжным провайдером.</w:t>
      </w:r>
    </w:p>
    <w:p>
      <w:pPr>
        <w:ind w:firstLine="709"/>
        <w:jc w:val="both"/>
      </w:pPr>
      <w:r>
        <w:t xml:space="preserve">Диаграмма активностей детализирует сценарий «Зарегистрироваться на аукцион» вместе с включаемым в него холдированием депозита, а её дорожки соответствуют действующему лицу, Системе и внешнему компоненту платёжного провайдера. Диаграмма последовательностей раскрывает сценарий «Сделать ставку» на уровне сообщений между компонентами и показывает, как архитектура (серверная отметка времени, асинхронные очереди, объединение потоков в BidTracker, отдельный поток для просмотра в BidStreamer) обеспечивает требования ТЗ к порядку обработки и скорости ставок.</w:t>
      </w:r>
    </w:p>
    <w:p>
      <w:pPr>
        <w:ind w:firstLine="709"/>
        <w:jc w:val="both"/>
      </w:pPr>
      <w:r>
        <w:t xml:space="preserve">Прототип интерфейса построен для того же центрального сценария, что и диаграмма последовательностей: каждому сообщению между участником и веб-клиентом соответствует элемент экрана – кнопка ставки, статус «Вы лидируете», сообщение об отказе с актуальной ценой. Таким образом, диаграммы и вайрфреймы образуют связную цепочку от требований ТЗ к архитектуре и пользовательскому интерфейсу и служат основой для дальнейшей разработки HammerLive.</w:t>
      </w:r>
    </w:p>
    <w:sectPr w:rsidR="00854555">
      <w:footerReference w:type="default" r:id="rIdFtr1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2C325D4-B67C-4251-B1F4-84276A33F87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C214B6C-1237-4BDA-A5EF-1EECEC715AA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215D244-0667-482A-A18E-8F1D7364D76B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5EAEAF7-AA2C-49AB-AF40-42616BEB76BC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B537D"/>
    <w:multiLevelType w:val="multilevel"/>
    <w:tmpl w:val="387E80F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451118"/>
    <w:multiLevelType w:val="multilevel"/>
    <w:tmpl w:val="0E8EBC7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3D7767F"/>
    <w:multiLevelType w:val="multilevel"/>
    <w:tmpl w:val="798C887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1FF2178"/>
    <w:multiLevelType w:val="multilevel"/>
    <w:tmpl w:val="5B1EFA2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F453C37"/>
    <w:multiLevelType w:val="multilevel"/>
    <w:tmpl w:val="9D02C6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555"/>
    <w:rsid w:val="0058422C"/>
    <w:rsid w:val="00854555"/>
    <w:rsid w:val="00B5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F5CC1"/>
  <w15:docId w15:val="{70EB9641-7254-46FA-AF21-70B213E3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120"/>
      <w:jc w:val="center"/>
      <w:outlineLvl w:val="0"/>
    </w:pPr>
    <w:rPr>
      <w:b/>
      <w:bCs/>
      <w:smallCap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Ftr1" Type="http://schemas.openxmlformats.org/officeDocument/2006/relationships/footer" Target="footer1.xml"/><Relationship Id="rIdImg1" Type="http://schemas.openxmlformats.org/officeDocument/2006/relationships/image" Target="media/fig1.png"/><Relationship Id="rIdImg2" Type="http://schemas.openxmlformats.org/officeDocument/2006/relationships/image" Target="media/fig2.png"/><Relationship Id="rIdImg3" Type="http://schemas.openxmlformats.org/officeDocument/2006/relationships/image" Target="media/fig3.png"/><Relationship Id="rIdImg4" Type="http://schemas.openxmlformats.org/officeDocument/2006/relationships/image" Target="media/fig4.png"/><Relationship Id="rIdImg5" Type="http://schemas.openxmlformats.org/officeDocument/2006/relationships/image" Target="media/fig5.png"/><Relationship Id="rIdImg6" Type="http://schemas.openxmlformats.org/officeDocument/2006/relationships/image" Target="media/fig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3451</Words>
  <Characters>19673</Characters>
  <Application>Microsoft Office Word</Application>
  <DocSecurity>0</DocSecurity>
  <Lines>163</Lines>
  <Paragraphs>46</Paragraphs>
  <ScaleCrop>false</ScaleCrop>
  <Company/>
  <LinksUpToDate>false</LinksUpToDate>
  <CharactersWithSpaces>23078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Сиренко</dc:creator>
  <cp:lastModifiedBy>Иван Сиренко</cp:lastModifiedBy>
  <cp:revision>2</cp:revision>
  <dcterms:created xsi:type="dcterms:W3CDTF">2026-09-15T18:33:00Z</dcterms:created>
  <dcterms:modified xsi:type="dcterms:W3CDTF">2026-09-15T18:33:00Z</dcterms:modified>
</cp:coreProperties>
</file>