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4695" w14:textId="43F3339D" w:rsidR="00B65519" w:rsidRPr="00B65519" w:rsidRDefault="00B65519">
      <w:pPr>
        <w:rPr>
          <w:b/>
          <w:bCs/>
          <w:sz w:val="32"/>
          <w:szCs w:val="32"/>
        </w:rPr>
      </w:pPr>
      <w:r>
        <w:rPr>
          <w:b/>
          <w:bCs/>
          <w:sz w:val="32"/>
          <w:szCs w:val="32"/>
        </w:rPr>
        <w:t>Chapter 2</w:t>
      </w:r>
    </w:p>
    <w:p w14:paraId="3945B775" w14:textId="77777777" w:rsidR="00B65519" w:rsidRDefault="00B65519">
      <w:pPr>
        <w:rPr>
          <w:b/>
          <w:bCs/>
          <w:sz w:val="40"/>
          <w:szCs w:val="40"/>
        </w:rPr>
      </w:pPr>
    </w:p>
    <w:p w14:paraId="3B1D3F3E" w14:textId="04039405" w:rsidR="00045106" w:rsidRDefault="007D365A">
      <w:pPr>
        <w:rPr>
          <w:b/>
          <w:bCs/>
          <w:sz w:val="40"/>
          <w:szCs w:val="40"/>
        </w:rPr>
      </w:pPr>
      <w:r w:rsidRPr="007D365A">
        <w:rPr>
          <w:b/>
          <w:bCs/>
          <w:sz w:val="40"/>
          <w:szCs w:val="40"/>
        </w:rPr>
        <w:t>Literature Review</w:t>
      </w:r>
    </w:p>
    <w:p w14:paraId="56C685FE" w14:textId="77777777" w:rsidR="0017375C" w:rsidRDefault="0017375C">
      <w:pPr>
        <w:rPr>
          <w:sz w:val="24"/>
          <w:szCs w:val="24"/>
        </w:rPr>
      </w:pPr>
    </w:p>
    <w:p w14:paraId="3CDAA9B6" w14:textId="668E70AE" w:rsidR="007D365A" w:rsidRPr="007C34F8" w:rsidRDefault="00B65519">
      <w:pPr>
        <w:rPr>
          <w:b/>
          <w:bCs/>
          <w:sz w:val="32"/>
          <w:szCs w:val="32"/>
        </w:rPr>
      </w:pPr>
      <w:r w:rsidRPr="007C34F8">
        <w:rPr>
          <w:b/>
          <w:bCs/>
          <w:sz w:val="32"/>
          <w:szCs w:val="32"/>
        </w:rPr>
        <w:t xml:space="preserve">2.1 </w:t>
      </w:r>
      <w:r w:rsidR="00831A68" w:rsidRPr="007C34F8">
        <w:rPr>
          <w:b/>
          <w:bCs/>
          <w:sz w:val="32"/>
          <w:szCs w:val="32"/>
        </w:rPr>
        <w:t xml:space="preserve">Introduction to </w:t>
      </w:r>
      <w:r w:rsidRPr="007C34F8">
        <w:rPr>
          <w:b/>
          <w:bCs/>
          <w:sz w:val="32"/>
          <w:szCs w:val="32"/>
        </w:rPr>
        <w:t xml:space="preserve">Population </w:t>
      </w:r>
      <w:r w:rsidR="00831A68" w:rsidRPr="007C34F8">
        <w:rPr>
          <w:b/>
          <w:bCs/>
          <w:sz w:val="32"/>
          <w:szCs w:val="32"/>
        </w:rPr>
        <w:t>Biology</w:t>
      </w:r>
    </w:p>
    <w:p w14:paraId="0F37273B" w14:textId="5B030E19" w:rsidR="00811A77" w:rsidRDefault="00831A68">
      <w:pPr>
        <w:rPr>
          <w:sz w:val="24"/>
          <w:szCs w:val="24"/>
        </w:rPr>
      </w:pPr>
      <w:r>
        <w:rPr>
          <w:sz w:val="24"/>
          <w:szCs w:val="24"/>
        </w:rPr>
        <w:t>Population biology is the study of biological populations</w:t>
      </w:r>
      <w:r w:rsidR="008E2C91">
        <w:rPr>
          <w:sz w:val="24"/>
          <w:szCs w:val="24"/>
        </w:rPr>
        <w:t xml:space="preserve"> </w:t>
      </w:r>
      <w:r w:rsidR="008E2C91">
        <w:rPr>
          <w:sz w:val="24"/>
          <w:szCs w:val="24"/>
        </w:rPr>
        <w:fldChar w:fldCharType="begin"/>
      </w:r>
      <w:r w:rsidR="008E2C91">
        <w:rPr>
          <w:sz w:val="24"/>
          <w:szCs w:val="24"/>
        </w:rPr>
        <w:instrText xml:space="preserve"> ADDIN ZOTERO_ITEM CSL_CITATION {"citationID":"s8JIFcbY","properties":{"formattedCitation":"(Hastings, 2013)","plainCitation":"(Hastings, 2013)","noteIndex":0},"citationItems":[{"id":66,"uris":["http://zotero.org/users/7587894/items/A8A99Z67"],"uri":["http://zotero.org/users/7587894/items/A8A99Z67"],"itemData":{"id":66,"type":"book","abstract":"Population biology has been investigated quantitatively for many decades, resulting in a rich body of scientific literature. Ecologists often avoid this literature, put off by its apparently formidable mathematics. This textbook provides an introduction to the biology and ecology of populations by emphasizing the roles of simple mathematical models in explaining the growth and behavior of populations. The author only assumes acquaintance with elementary calculus, and provides tutorial explanations where needed to develop mathematical concepts. Examples, problems, extensive marginal notes and numerous graphs enhance the book's value to students in classes ranging from population biology and population ecology to mathematical biology and mathematical ecology. The book will also be useful as a supplement to introductory courses in ecology.","ISBN":"978-1-4757-2731-9","language":"en","note":"Google-Books-ID: 9mwECAAAQBAJ","number-of-pages":"228","publisher":"Springer Science &amp; Business Media","source":"Google Books","title":"Population Biology: Concepts and Models","title-short":"Population Biology","author":[{"family":"Hastings","given":"Alan"}],"issued":{"date-parts":[["2013",3,14]]}}}],"schema":"https://github.com/citation-style-language/schema/raw/master/csl-citation.json"} </w:instrText>
      </w:r>
      <w:r w:rsidR="008E2C91">
        <w:rPr>
          <w:sz w:val="24"/>
          <w:szCs w:val="24"/>
        </w:rPr>
        <w:fldChar w:fldCharType="separate"/>
      </w:r>
      <w:r w:rsidR="008E2C91" w:rsidRPr="008E2C91">
        <w:rPr>
          <w:rFonts w:ascii="Calibri" w:hAnsi="Calibri" w:cs="Calibri"/>
          <w:sz w:val="24"/>
        </w:rPr>
        <w:t>(Hastings, 2013)</w:t>
      </w:r>
      <w:r w:rsidR="008E2C91">
        <w:rPr>
          <w:sz w:val="24"/>
          <w:szCs w:val="24"/>
        </w:rPr>
        <w:fldChar w:fldCharType="end"/>
      </w:r>
      <w:r w:rsidR="005A01B1">
        <w:rPr>
          <w:sz w:val="24"/>
          <w:szCs w:val="24"/>
        </w:rPr>
        <w:t xml:space="preserve">. </w:t>
      </w:r>
      <w:r w:rsidR="00C729B5">
        <w:rPr>
          <w:sz w:val="24"/>
          <w:szCs w:val="24"/>
        </w:rPr>
        <w:t>The goal of the study of population biology is to identify why a species populations fluctuate the way that they do. Central to this goal is the creation of theoretical models used to model the fluctuations of a species population</w:t>
      </w:r>
      <w:r w:rsidR="008E2C91">
        <w:rPr>
          <w:sz w:val="24"/>
          <w:szCs w:val="24"/>
        </w:rPr>
        <w:t xml:space="preserve"> </w:t>
      </w:r>
      <w:r w:rsidR="008E2C91">
        <w:rPr>
          <w:sz w:val="24"/>
          <w:szCs w:val="24"/>
        </w:rPr>
        <w:fldChar w:fldCharType="begin"/>
      </w:r>
      <w:r w:rsidR="008E2C91">
        <w:rPr>
          <w:sz w:val="24"/>
          <w:szCs w:val="24"/>
        </w:rPr>
        <w:instrText xml:space="preserve"> ADDIN ZOTERO_ITEM CSL_CITATION {"citationID":"0DGXx89Q","properties":{"formattedCitation":"(Royama, 2012)","plainCitation":"(Royama, 2012)","noteIndex":0},"citationItems":[{"id":68,"uris":["http://zotero.org/users/7587894/items/ZAL9LUZL"],"uri":["http://zotero.org/users/7587894/items/ZAL9LUZL"],"itemData":{"id":68,"type":"book","abstract":"A knowledge of animal population dynamics is essential for the proper management of natural resources and the environment. This book, now available in paperback, develops basic concepts and a rigorous methodology for the analysis of animal population dynamics to identify the underlying mechanisms.","ISBN":"978-94-011-2916-9","language":"en","note":"Google-Books-ID: WYrtCAAAQBAJ","number-of-pages":"384","publisher":"Springer Science &amp; Business Media","source":"Google Books","title":"Analytical Population Dynamics","author":[{"family":"Royama","given":"T."}],"issued":{"date-parts":[["2012",12,6]]}}}],"schema":"https://github.com/citation-style-language/schema/raw/master/csl-citation.json"} </w:instrText>
      </w:r>
      <w:r w:rsidR="008E2C91">
        <w:rPr>
          <w:sz w:val="24"/>
          <w:szCs w:val="24"/>
        </w:rPr>
        <w:fldChar w:fldCharType="separate"/>
      </w:r>
      <w:r w:rsidR="008E2C91" w:rsidRPr="008E2C91">
        <w:rPr>
          <w:rFonts w:ascii="Calibri" w:hAnsi="Calibri" w:cs="Calibri"/>
          <w:sz w:val="24"/>
        </w:rPr>
        <w:t>(Royama, 2012)</w:t>
      </w:r>
      <w:r w:rsidR="008E2C91">
        <w:rPr>
          <w:sz w:val="24"/>
          <w:szCs w:val="24"/>
        </w:rPr>
        <w:fldChar w:fldCharType="end"/>
      </w:r>
      <w:r w:rsidR="00C729B5">
        <w:rPr>
          <w:sz w:val="24"/>
          <w:szCs w:val="24"/>
        </w:rPr>
        <w:t>.</w:t>
      </w:r>
      <w:r w:rsidR="0008643B">
        <w:rPr>
          <w:sz w:val="24"/>
          <w:szCs w:val="24"/>
        </w:rPr>
        <w:t xml:space="preserve"> In the context of species conservation, accurate population models are vital. These models, if correctly engineered, can be used to analyse historical </w:t>
      </w:r>
      <w:r w:rsidR="001C47E2">
        <w:rPr>
          <w:sz w:val="24"/>
          <w:szCs w:val="24"/>
        </w:rPr>
        <w:t>data,</w:t>
      </w:r>
      <w:r w:rsidR="0008643B">
        <w:rPr>
          <w:sz w:val="24"/>
          <w:szCs w:val="24"/>
        </w:rPr>
        <w:t xml:space="preserve"> and extrapolated to future dates.</w:t>
      </w:r>
    </w:p>
    <w:p w14:paraId="165EAFA5" w14:textId="06A4B591" w:rsidR="000E2EBC" w:rsidRDefault="000E2EBC">
      <w:pPr>
        <w:rPr>
          <w:sz w:val="24"/>
          <w:szCs w:val="24"/>
        </w:rPr>
      </w:pPr>
      <w:r>
        <w:rPr>
          <w:sz w:val="24"/>
          <w:szCs w:val="24"/>
        </w:rPr>
        <w:t xml:space="preserve">There are 4 </w:t>
      </w:r>
      <w:r w:rsidR="00D2420C">
        <w:rPr>
          <w:sz w:val="24"/>
          <w:szCs w:val="24"/>
        </w:rPr>
        <w:t>primary</w:t>
      </w:r>
      <w:r>
        <w:rPr>
          <w:sz w:val="24"/>
          <w:szCs w:val="24"/>
        </w:rPr>
        <w:t xml:space="preserve"> factors that contribute to the change in population for most species. These include births and immigration, which increase a species population, and deaths and emigration, which decrease a species population.</w:t>
      </w:r>
      <w:r w:rsidR="00D2420C">
        <w:rPr>
          <w:sz w:val="24"/>
          <w:szCs w:val="24"/>
        </w:rPr>
        <w:t xml:space="preserve"> These 4 primary factors contribute directly to the intrinsic growth rate of the population.</w:t>
      </w:r>
      <w:r>
        <w:rPr>
          <w:sz w:val="24"/>
          <w:szCs w:val="24"/>
        </w:rPr>
        <w:t xml:space="preserve"> There are then further, secondary, factors that </w:t>
      </w:r>
      <w:r w:rsidR="00D2420C">
        <w:rPr>
          <w:sz w:val="24"/>
          <w:szCs w:val="24"/>
        </w:rPr>
        <w:t>influence</w:t>
      </w:r>
      <w:r>
        <w:rPr>
          <w:sz w:val="24"/>
          <w:szCs w:val="24"/>
        </w:rPr>
        <w:t xml:space="preserve"> the four primary factors. These include population density, distribution, sex ratio and age structure. Furthermore, the environment</w:t>
      </w:r>
      <w:r w:rsidR="00D2420C">
        <w:rPr>
          <w:sz w:val="24"/>
          <w:szCs w:val="24"/>
        </w:rPr>
        <w:t xml:space="preserve">s carrying capacity also influences the 4 primary factors. All these factors, directly or indirectly, affect the population dynamics of the species exposed to them. The ways in which species interact with their ecosystem can be very complex and it’s almost impossible to account for all the variables that influence a species population </w:t>
      </w:r>
      <w:r w:rsidR="00096970">
        <w:rPr>
          <w:sz w:val="24"/>
          <w:szCs w:val="24"/>
        </w:rPr>
        <w:t>dynamic</w:t>
      </w:r>
      <w:r w:rsidR="00D2420C">
        <w:rPr>
          <w:sz w:val="24"/>
          <w:szCs w:val="24"/>
        </w:rPr>
        <w:t>.</w:t>
      </w:r>
    </w:p>
    <w:p w14:paraId="080CAAA5" w14:textId="1963DD0B" w:rsidR="00096970" w:rsidRDefault="00096970">
      <w:pPr>
        <w:rPr>
          <w:sz w:val="24"/>
          <w:szCs w:val="24"/>
        </w:rPr>
      </w:pPr>
      <w:r>
        <w:rPr>
          <w:sz w:val="24"/>
          <w:szCs w:val="24"/>
        </w:rPr>
        <w:t xml:space="preserve">Nevertheless, population models are still useful, </w:t>
      </w:r>
      <w:r w:rsidR="001C47E2">
        <w:rPr>
          <w:sz w:val="24"/>
          <w:szCs w:val="24"/>
        </w:rPr>
        <w:t>albeit not</w:t>
      </w:r>
      <w:r>
        <w:rPr>
          <w:sz w:val="24"/>
          <w:szCs w:val="24"/>
        </w:rPr>
        <w:t xml:space="preserve"> all encompassing. There are many examples of positive outcomes due to population models. </w:t>
      </w:r>
      <w:r w:rsidR="001F2922">
        <w:rPr>
          <w:sz w:val="24"/>
          <w:szCs w:val="24"/>
        </w:rPr>
        <w:t>One example is how population dynamics modelling played an important role in reversing the decline in the endangered Loggerhead Sea Turtle in the US</w:t>
      </w:r>
      <w:r w:rsidR="008E2C91">
        <w:rPr>
          <w:sz w:val="24"/>
          <w:szCs w:val="24"/>
        </w:rPr>
        <w:t xml:space="preserve"> </w:t>
      </w:r>
      <w:r w:rsidR="008E2C91">
        <w:rPr>
          <w:sz w:val="24"/>
          <w:szCs w:val="24"/>
        </w:rPr>
        <w:fldChar w:fldCharType="begin"/>
      </w:r>
      <w:r w:rsidR="00950D3A">
        <w:rPr>
          <w:sz w:val="24"/>
          <w:szCs w:val="24"/>
        </w:rPr>
        <w:instrText xml:space="preserve"> ADDIN ZOTERO_ITEM CSL_CITATION {"citationID":"lD2mQYLd","properties":{"formattedCitation":"(Crouse et al., 1987; Crowder et al., 1994)","plainCitation":"(Crouse et al., 1987; Crowder et al., 1994)","noteIndex":0},"citationItems":[{"id":75,"uris":["http://zotero.org/users/7587894/items/CVGHRIRM"],"uri":["http://zotero.org/users/7587894/items/CVGHRIRM"],"itemData":{"id":75,"type":"article-journal","abstract":"Management of many species is currently based on an inadequate understanding of their population dynamics. Lack of age—specific demographic information, particularly for long—lived iteroparous species, has impeded development of useful models. We use Lefkovitch stage class matrix model, based on preliminary life table developed by Frazer (1983), to point to interim management measures and to identify those data most critical to refining our knowledge about the population dynamics of threatened loggerhead sea turtles (Caretta caretta). Population projections are used to examine the sensitivity of Frazer's life table to variations in parameter estimates as well as the likely response of the population to various management alternatives. Current management practices appear to be focused on the least responsive life stage, eggs on nesting—beaches. Alternative protection efforts for juvenile loggerheads,such as using turtle excluder devices (TEDs), may be far more effective.","container-title":"Ecology","DOI":"10.2307/1939225","ISSN":"1939-9170","issue":"5","language":"en","note":"_eprint: https://onlinelibrary.wiley.com/doi/pdf/10.2307/1939225","page":"1412-1423","source":"Wiley Online Library","title":"A Stage-Based Population Model for Loggerhead Sea Turtles and Implications for Conservation","volume":"68","author":[{"family":"Crouse","given":"Deborah T."},{"family":"Crowder","given":"Larry B."},{"family":"Caswell","given":"Hal"}],"issued":{"date-parts":[["1987"]]}},"label":"page"},{"id":73,"uris":["http://zotero.org/users/7587894/items/GGL5ZF5U"],"uri":["http://zotero.org/users/7587894/items/GGL5ZF5U"],"itemData":{"id":73,"type":"article-journal","abstract":"In this paper, we modified and updated a stage—based population model for loggerhead sea turtles (Caretta caretta) and used the model to project potential population—level effects of the use of turtle excluder devices (TEDs) in trawl fisheries of the southeastern US. We reduced the seven—stage model of Crouse et al. (1987) to a five—stage model and performed sensitivity analyses on the matrix. The most sensitive matrix parameters were those dealing with survival while remaining in a stage, rather than growth from one stage to the next or reproductive output. Population growth rate was most sensitive to survival in the large juvenile stage, followed by small juvenile survival. Large juveniles are the most common size class among stranded dead turtles found on beaches; 70—80% of strandings are thought to be related to trawl fisheries. Simulations of our loggerhead model based on estimated effects of TED regulations on stage—specific survivorship suggested that southeastern US loggerhead populations should increase, but rather slowly. If TEDs were required during the shrimping season in offshore areas only (as they were from 1990 to 1992), 70 yr or more would be required for the simulated population to increase by an order of magnitude. Recent estimates of TED effects from South Carolina strandings data suggest a similar recovery rate. Good compliance with regulations requiring TEDs year—round in all waters could allow the population to increase nearly twice as fast as that expected under the 'seasonal offshore' regulations. We also used a Leslie matrix version of the model to illustrate the expected transient response in the numbers of females expected on nesting beaches (due to shifting age—size structures with TED use). Rather than a monotonic increase, we expect an initial increase in the number of nesting females, followed by a leveling off or slight decline (perhaps 10—15 yr from now), followed by another increase. The magnitude of the projected population increase will depend upon the actual increases in stage—specific survivorship due to TED regulations. New, or compensatory, sources of mortality could slow or reverse this projected recovery.","container-title":"Ecological Applications","DOI":"10.2307/1941948","ISSN":"1939-5582","issue":"3","language":"en","note":"_eprint: https://onlinelibrary.wiley.com/doi/pdf/10.2307/1941948","page":"437-445","source":"Wiley Online Library","title":"Predicting the Impact of Turtle Excluder Devices on Loggerhead Sea Turtle Populations","volume":"4","author":[{"family":"Crowder","given":"Larry B."},{"family":"Crouse","given":"Deborah T."},{"family":"Heppell","given":"Selina S."},{"family":"Martin","given":"Thomas H."}],"issued":{"date-parts":[["1994"]]}},"label":"page"}],"schema":"https://github.com/citation-style-language/schema/raw/master/csl-citation.json"} </w:instrText>
      </w:r>
      <w:r w:rsidR="008E2C91">
        <w:rPr>
          <w:sz w:val="24"/>
          <w:szCs w:val="24"/>
        </w:rPr>
        <w:fldChar w:fldCharType="separate"/>
      </w:r>
      <w:r w:rsidR="00950D3A" w:rsidRPr="00950D3A">
        <w:rPr>
          <w:rFonts w:ascii="Calibri" w:hAnsi="Calibri" w:cs="Calibri"/>
          <w:sz w:val="24"/>
        </w:rPr>
        <w:t>(Crouse et al., 1987; Crowder et al., 1994)</w:t>
      </w:r>
      <w:r w:rsidR="008E2C91">
        <w:rPr>
          <w:sz w:val="24"/>
          <w:szCs w:val="24"/>
        </w:rPr>
        <w:fldChar w:fldCharType="end"/>
      </w:r>
      <w:r w:rsidR="001F2922">
        <w:rPr>
          <w:sz w:val="24"/>
          <w:szCs w:val="24"/>
        </w:rPr>
        <w:t>.</w:t>
      </w:r>
      <w:r w:rsidR="00950D3A">
        <w:rPr>
          <w:sz w:val="24"/>
          <w:szCs w:val="24"/>
        </w:rPr>
        <w:t xml:space="preserve"> Initial conservation efforts, in the 1980s, had been focused on protecting the turtle nests and hatchlings. However, it was later discovered, using population models</w:t>
      </w:r>
      <w:r w:rsidR="006802B6">
        <w:rPr>
          <w:sz w:val="24"/>
          <w:szCs w:val="24"/>
        </w:rPr>
        <w:t xml:space="preserve"> with a focus on species age</w:t>
      </w:r>
      <w:r w:rsidR="00950D3A">
        <w:rPr>
          <w:sz w:val="24"/>
          <w:szCs w:val="24"/>
        </w:rPr>
        <w:t>, that the declining growth rate of these turtles were attributed to subadult and adult turtles at sea. These findings lead to the use of turtle excluder devices (TEDs) in shrimp trawls in turtle habitats and has since had a substantially positive impact on the growth rate of the Loggerhead turtles.</w:t>
      </w:r>
      <w:r w:rsidR="001F2922">
        <w:rPr>
          <w:sz w:val="24"/>
          <w:szCs w:val="24"/>
        </w:rPr>
        <w:t xml:space="preserve"> </w:t>
      </w:r>
    </w:p>
    <w:p w14:paraId="50119673" w14:textId="1D7C54FD" w:rsidR="006802B6" w:rsidRDefault="006802B6">
      <w:pPr>
        <w:rPr>
          <w:sz w:val="24"/>
          <w:szCs w:val="24"/>
        </w:rPr>
      </w:pPr>
      <w:r>
        <w:rPr>
          <w:sz w:val="24"/>
          <w:szCs w:val="24"/>
        </w:rPr>
        <w:t xml:space="preserve">Population models have also been used to manage decisions regarding over-abundant species in an ecosystem. The American bullfrog is an alien species on Vancouver Island. These bullfrogs have been rapidly increasing and negatively affecting biodiversity in its ecosystem. </w:t>
      </w:r>
      <w:r w:rsidR="00187BE9">
        <w:rPr>
          <w:sz w:val="24"/>
          <w:szCs w:val="24"/>
        </w:rPr>
        <w:t xml:space="preserve">A matrix model investigation conducted by </w:t>
      </w:r>
      <w:r>
        <w:rPr>
          <w:sz w:val="24"/>
          <w:szCs w:val="24"/>
        </w:rPr>
        <w:fldChar w:fldCharType="begin"/>
      </w:r>
      <w:r w:rsidR="00187BE9">
        <w:rPr>
          <w:sz w:val="24"/>
          <w:szCs w:val="24"/>
        </w:rPr>
        <w:instrText xml:space="preserve"> ADDIN ZOTERO_ITEM CSL_CITATION {"citationID":"iYtWPb7x","properties":{"custom":"Govindarajulu et al, (2005)","formattedCitation":"Govindarajulu et al, (2005)","plainCitation":"Govindarajulu et al, (2005)","noteIndex":0},"citationItems":[{"id":77,"uris":["http://zotero.org/users/7587894/items/TBW9PMWR"],"uri":["http://zotero.org/users/7587894/items/TBW9PMWR"],"itemData":{"id":77,"type":"article-journal","abstract":"Invasive species control is now a conservation priority in many parts of the world. Demographic modeling using population matrix models is a useful tool in the design of these control efforts as it identifies the life stages with the strongest influence on population dynamics. As a case in point, American bullfrogs (Rana catesbeiana) have been introduced around the world and have negative effects on native fauna. We studied demography of four populations on southern Vancouver Island, Canada, using field observations and capture–mark–recapture methods to estimate survival, growth, and fecundity. The life cycle of these introduced bullfrogs progressed in yearly increments through the following stages: eggs/small tadpoles, first-year tadpoles, second-year tadpoles, metamorphs/juveniles, and adults. Some bullfrog tadpoles were able to skip the second-year tadpole stage and metamorphosed one year after hatching. With tadpole survival estimates from the literature and field estimates of the remaining parameters we constructed a matrix population model. Prospective demographic perturbation analysis showed that bullfrog population growth rate (λ) was most influenced by the proportion of tadpoles metamorphosing early (tadpole development rate), and by early postmetamorphic survival rates. Most current control efforts for bullfrogs have focused on removing tadpoles and breeding adults, and our modeling suggests that these efforts may not be optimal. Partial removal of tadpoles may lead to higher tadpole survival and development rates and higher postmetamorphic survival due to decreased density-dependent competition. Removal of adults leads to higher survival of early metamorphic stages through reduced cannibalism. Our modeling suggests that culling of metamorphs in fall is the most effective method of decreasing bullfrog population growth rate. Our study shows how demographic information can be used to maximize the efficacy of control efforts, and our results are likely directly applicable to other invasive species with complex life cycles.","container-title":"Ecological Applications","DOI":"10.1890/05-0486","ISSN":"1939-5582","issue":"6","language":"en","note":"_eprint: https://onlinelibrary.wiley.com/doi/pdf/10.1890/05-0486","page":"2161-2170","source":"Wiley Online Library","title":"Matrix Model Investigation of Invasive Species Control: Bullfrogs on Vancouver Island","title-short":"Matrix Model Investigation of Invasive Species Control","volume":"15","author":[{"family":"Govindarajulu","given":"Purnima"},{"family":"Altwegg","given":"Res"},{"family":"Anholt","given":"Bradley R."}],"issued":{"date-parts":[["2005"]]}}}],"schema":"https://github.com/citation-style-language/schema/raw/master/csl-citation.json"} </w:instrText>
      </w:r>
      <w:r>
        <w:rPr>
          <w:sz w:val="24"/>
          <w:szCs w:val="24"/>
        </w:rPr>
        <w:fldChar w:fldCharType="separate"/>
      </w:r>
      <w:r w:rsidR="00187BE9" w:rsidRPr="00187BE9">
        <w:rPr>
          <w:rFonts w:ascii="Calibri" w:hAnsi="Calibri" w:cs="Calibri"/>
          <w:sz w:val="24"/>
        </w:rPr>
        <w:t>Govindarajulu et al, (2005)</w:t>
      </w:r>
      <w:r>
        <w:rPr>
          <w:sz w:val="24"/>
          <w:szCs w:val="24"/>
        </w:rPr>
        <w:fldChar w:fldCharType="end"/>
      </w:r>
      <w:r w:rsidR="00187BE9">
        <w:rPr>
          <w:sz w:val="24"/>
          <w:szCs w:val="24"/>
        </w:rPr>
        <w:t xml:space="preserve"> found that the current strategy of removing tadpoles only lead to higher tadpole survival due to reduced</w:t>
      </w:r>
      <w:r w:rsidR="001C47E2">
        <w:rPr>
          <w:sz w:val="24"/>
          <w:szCs w:val="24"/>
        </w:rPr>
        <w:t xml:space="preserve"> competition in a</w:t>
      </w:r>
      <w:r w:rsidR="00187BE9">
        <w:rPr>
          <w:sz w:val="24"/>
          <w:szCs w:val="24"/>
        </w:rPr>
        <w:t xml:space="preserve"> density-depende</w:t>
      </w:r>
      <w:r w:rsidR="001C47E2">
        <w:rPr>
          <w:sz w:val="24"/>
          <w:szCs w:val="24"/>
        </w:rPr>
        <w:t>nt context</w:t>
      </w:r>
      <w:r w:rsidR="00187BE9">
        <w:rPr>
          <w:sz w:val="24"/>
          <w:szCs w:val="24"/>
        </w:rPr>
        <w:t xml:space="preserve">. Instead, they reported that the culling </w:t>
      </w:r>
      <w:r w:rsidR="00187BE9">
        <w:rPr>
          <w:sz w:val="24"/>
          <w:szCs w:val="24"/>
        </w:rPr>
        <w:lastRenderedPageBreak/>
        <w:t>of tadpoles in autumn would provide the most effective approach in managing the over-abundant bullfrogs.</w:t>
      </w:r>
    </w:p>
    <w:p w14:paraId="498B2429" w14:textId="539184FA" w:rsidR="00187BE9" w:rsidRDefault="00C47F36">
      <w:pPr>
        <w:rPr>
          <w:sz w:val="24"/>
          <w:szCs w:val="24"/>
        </w:rPr>
      </w:pPr>
      <w:r>
        <w:rPr>
          <w:sz w:val="24"/>
          <w:szCs w:val="24"/>
        </w:rPr>
        <w:t>As is the case with all models, “all models are wrong, but some are useful”. The complexity of species interactions with each other and their environment make it impossible for any population modeller to account for all variables in their model. However, as proved above, models can still be very useful in species conservation when the correct variables are accounted for</w:t>
      </w:r>
      <w:r w:rsidR="00557D19">
        <w:rPr>
          <w:sz w:val="24"/>
          <w:szCs w:val="24"/>
        </w:rPr>
        <w:t>, and the correct model used</w:t>
      </w:r>
      <w:r>
        <w:rPr>
          <w:sz w:val="24"/>
          <w:szCs w:val="24"/>
        </w:rPr>
        <w:t>.</w:t>
      </w:r>
    </w:p>
    <w:p w14:paraId="420F05A5" w14:textId="037D8F44" w:rsidR="00831A68" w:rsidRDefault="00831A68">
      <w:pPr>
        <w:rPr>
          <w:sz w:val="24"/>
          <w:szCs w:val="24"/>
        </w:rPr>
      </w:pPr>
    </w:p>
    <w:p w14:paraId="02EDC8F2" w14:textId="0D4EA3AB" w:rsidR="00FC0AF3" w:rsidRPr="007C34F8" w:rsidRDefault="00FC0AF3">
      <w:pPr>
        <w:rPr>
          <w:sz w:val="28"/>
          <w:szCs w:val="28"/>
        </w:rPr>
      </w:pPr>
      <w:r w:rsidRPr="007C34F8">
        <w:rPr>
          <w:b/>
          <w:bCs/>
          <w:sz w:val="32"/>
          <w:szCs w:val="32"/>
        </w:rPr>
        <w:t>2.</w:t>
      </w:r>
      <w:r w:rsidR="00557D19">
        <w:rPr>
          <w:b/>
          <w:bCs/>
          <w:sz w:val="32"/>
          <w:szCs w:val="32"/>
        </w:rPr>
        <w:t>2 State Space Models</w:t>
      </w:r>
    </w:p>
    <w:p w14:paraId="25729F3D" w14:textId="741294C1" w:rsidR="003527B0" w:rsidRDefault="00557D19">
      <w:pPr>
        <w:rPr>
          <w:sz w:val="24"/>
          <w:szCs w:val="24"/>
        </w:rPr>
      </w:pPr>
      <w:r>
        <w:rPr>
          <w:sz w:val="24"/>
          <w:szCs w:val="24"/>
        </w:rPr>
        <w:t>State space models</w:t>
      </w:r>
      <w:r w:rsidR="00FE4B6A">
        <w:rPr>
          <w:sz w:val="24"/>
          <w:szCs w:val="24"/>
        </w:rPr>
        <w:t xml:space="preserve"> (SSMs)</w:t>
      </w:r>
      <w:r>
        <w:rPr>
          <w:sz w:val="24"/>
          <w:szCs w:val="24"/>
        </w:rPr>
        <w:t xml:space="preserve"> have become a popular tool used by ecologists to analyse ecological time-series</w:t>
      </w:r>
      <w:r w:rsidR="003527B0">
        <w:rPr>
          <w:sz w:val="24"/>
          <w:szCs w:val="24"/>
        </w:rPr>
        <w:t>. There is enough evidence to argue that SSMs should be the default tool in analysing time series for ecologists</w:t>
      </w:r>
      <w:r>
        <w:rPr>
          <w:sz w:val="24"/>
          <w:szCs w:val="24"/>
        </w:rPr>
        <w:t xml:space="preserve"> </w:t>
      </w:r>
      <w:r>
        <w:rPr>
          <w:sz w:val="24"/>
          <w:szCs w:val="24"/>
        </w:rPr>
        <w:fldChar w:fldCharType="begin"/>
      </w:r>
      <w:r>
        <w:rPr>
          <w:sz w:val="24"/>
          <w:szCs w:val="24"/>
        </w:rPr>
        <w:instrText xml:space="preserve"> ADDIN ZOTERO_ITEM CSL_CITATION {"citationID":"yYDimnL9","properties":{"formattedCitation":"(Auger-M\\uc0\\u233{}th\\uc0\\u233{}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Pr>
          <w:sz w:val="24"/>
          <w:szCs w:val="24"/>
        </w:rPr>
        <w:fldChar w:fldCharType="separate"/>
      </w:r>
      <w:r w:rsidRPr="00557D19">
        <w:rPr>
          <w:rFonts w:ascii="Calibri" w:hAnsi="Calibri" w:cs="Calibri"/>
          <w:sz w:val="24"/>
          <w:szCs w:val="24"/>
        </w:rPr>
        <w:t>(Auger-Méthé et al., 2021)</w:t>
      </w:r>
      <w:r>
        <w:rPr>
          <w:sz w:val="24"/>
          <w:szCs w:val="24"/>
        </w:rPr>
        <w:fldChar w:fldCharType="end"/>
      </w:r>
      <w:r>
        <w:rPr>
          <w:sz w:val="24"/>
          <w:szCs w:val="24"/>
        </w:rPr>
        <w:t>.</w:t>
      </w:r>
      <w:r w:rsidR="00FE4B6A">
        <w:rPr>
          <w:sz w:val="24"/>
          <w:szCs w:val="24"/>
        </w:rPr>
        <w:t xml:space="preserve"> SSMs have been used in various ecological studies such as fisheries stock assessment </w:t>
      </w:r>
      <w:r w:rsidR="00FE4B6A">
        <w:rPr>
          <w:sz w:val="24"/>
          <w:szCs w:val="24"/>
        </w:rPr>
        <w:fldChar w:fldCharType="begin"/>
      </w:r>
      <w:r w:rsidR="00FE4B6A">
        <w:rPr>
          <w:sz w:val="24"/>
          <w:szCs w:val="24"/>
        </w:rPr>
        <w:instrText xml:space="preserve"> ADDIN ZOTERO_ITEM CSL_CITATION {"citationID":"BV1oDTPO","properties":{"formattedCitation":"(Aeberhard et al., n.d.)","plainCitation":"(Aeberhard et al., n.d.)","noteIndex":0},"citationItems":[{"id":96,"uris":["http://zotero.org/users/7587894/items/5MLF6486"],"uri":["http://zotero.org/users/7587894/items/5MLF6486"],"itemData":{"id":96,"type":"article-journal","abstract":"State space models (SSMs) are now ubiquitous in many fields and increasingly complicated with observed and unobserved variables often interacting in nonlinear fashions. The crucial task of validating model assumptions thus becomes difficult, particularly since some assumptions are formulated about unobserved states and thus cannot be checked with data. Motivated by the complex SSMs used for the assessment of fish stocks, we introduce a robust estimation method for SSMs. We prove the Fisher consistency of our estimator and propose an implementation based on automatic differentiation and the Laplace approximation of integrals which yields fast computations. Simulation studies demonstrate that our robust procedure performs well both with and without deviations from model assumptions. Applying it to the stock assessment model for pollock in the North Sea highlights the ability of our procedure to identify years with atypical observations.","container-title":"Scandinavian Journal of Statistics","DOI":"10.1111/sjos.12482","ISSN":"1467-9469","issue":"n/a","language":"en","note":"_eprint: https://onlinelibrary.wiley.com/doi/pdf/10.1111/sjos.12482","source":"Wiley Online Library","title":"Robust estimation for discrete-time state space models","URL":"https://onlinelibrary.wiley.com/doi/abs/10.1111/sjos.12482","volume":"n/a","author":[{"family":"Aeberhard","given":"William H."},{"family":"Cantoni","given":"Eva"},{"family":"Field","given":"Chris"},{"family":"Künsch","given":"Hans R."},{"family":"Mills Flemming","given":"Joanna"},{"family":"Xu","given":"Ximing"}],"accessed":{"date-parts":[["2021",10,4]]}}}],"schema":"https://github.com/citation-style-language/schema/raw/master/csl-citation.json"} </w:instrText>
      </w:r>
      <w:r w:rsidR="00FE4B6A">
        <w:rPr>
          <w:sz w:val="24"/>
          <w:szCs w:val="24"/>
        </w:rPr>
        <w:fldChar w:fldCharType="separate"/>
      </w:r>
      <w:r w:rsidR="00FE4B6A" w:rsidRPr="00FE4B6A">
        <w:rPr>
          <w:rFonts w:ascii="Calibri" w:hAnsi="Calibri" w:cs="Calibri"/>
          <w:sz w:val="24"/>
        </w:rPr>
        <w:t>(Aeberhard et al., n.d.)</w:t>
      </w:r>
      <w:r w:rsidR="00FE4B6A">
        <w:rPr>
          <w:sz w:val="24"/>
          <w:szCs w:val="24"/>
        </w:rPr>
        <w:fldChar w:fldCharType="end"/>
      </w:r>
      <w:r w:rsidR="00FE4B6A">
        <w:rPr>
          <w:sz w:val="24"/>
          <w:szCs w:val="24"/>
        </w:rPr>
        <w:t xml:space="preserve">, </w:t>
      </w:r>
      <w:r w:rsidR="00F81383">
        <w:rPr>
          <w:sz w:val="24"/>
          <w:szCs w:val="24"/>
        </w:rPr>
        <w:t xml:space="preserve">movement ecology </w:t>
      </w:r>
      <w:r w:rsidR="00F81383">
        <w:rPr>
          <w:sz w:val="24"/>
          <w:szCs w:val="24"/>
        </w:rPr>
        <w:fldChar w:fldCharType="begin"/>
      </w:r>
      <w:r w:rsidR="00F81383">
        <w:rPr>
          <w:sz w:val="24"/>
          <w:szCs w:val="24"/>
        </w:rPr>
        <w:instrText xml:space="preserve"> ADDIN ZOTERO_ITEM CSL_CITATION {"citationID":"04BGKKXN","properties":{"formattedCitation":"(Patterson et al., 2008)","plainCitation":"(Patterson et al., 2008)","noteIndex":0},"citationItems":[{"id":105,"uris":["http://zotero.org/users/7587894/items/7FM337YZ"],"uri":["http://zotero.org/users/7587894/items/7FM337YZ"],"itemData":{"id":105,"type":"article-journal","abstract":"Detailed observation of the movement of individual animals offers the potential to understand spatial population processes as the ultimate consequence of individual behaviour, physiological constraints and fine-scale environmental influences. However, movement data from individuals are intrinsically stochastic and often subject to severe observation error. Linking such complex data to dynamical models of movement is a major challenge for animal ecology. Here, we review a statistical approach, state–space modelling, which involves changing how we analyse movement data and draw inferences about the behaviours that shape it. The statistical robustness and predictive ability of state–space models make them the most promising avenue towards a new type of movement ecology that fuses insights from the study of animal behaviour, biogeography and spatial population dynamics.","container-title":"Trends in Ecology &amp; Evolution","DOI":"10.1016/j.tree.2007.10.009","ISSN":"0169-5347","issue":"2","journalAbbreviation":"Trends in Ecology &amp; Evolution","language":"en","page":"87-94","source":"ScienceDirect","title":"State–space models of individual animal movement","volume":"23","author":[{"family":"Patterson","given":"Toby A."},{"family":"Thomas","given":"Len"},{"family":"Wilcox","given":"Chris"},{"family":"Ovaskainen","given":"Otso"},{"family":"Matthiopoulos","given":"Jason"}],"issued":{"date-parts":[["2008",2,1]]}}}],"schema":"https://github.com/citation-style-language/schema/raw/master/csl-citation.json"} </w:instrText>
      </w:r>
      <w:r w:rsidR="00F81383">
        <w:rPr>
          <w:sz w:val="24"/>
          <w:szCs w:val="24"/>
        </w:rPr>
        <w:fldChar w:fldCharType="separate"/>
      </w:r>
      <w:r w:rsidR="00F81383" w:rsidRPr="00F81383">
        <w:rPr>
          <w:rFonts w:ascii="Calibri" w:hAnsi="Calibri" w:cs="Calibri"/>
          <w:sz w:val="24"/>
        </w:rPr>
        <w:t>(Patterson et al., 2008)</w:t>
      </w:r>
      <w:r w:rsidR="00F81383">
        <w:rPr>
          <w:sz w:val="24"/>
          <w:szCs w:val="24"/>
        </w:rPr>
        <w:fldChar w:fldCharType="end"/>
      </w:r>
      <w:r w:rsidR="00F81383">
        <w:rPr>
          <w:sz w:val="24"/>
          <w:szCs w:val="24"/>
        </w:rPr>
        <w:t xml:space="preserve"> </w:t>
      </w:r>
      <w:r w:rsidR="00FE4B6A">
        <w:rPr>
          <w:sz w:val="24"/>
          <w:szCs w:val="24"/>
        </w:rPr>
        <w:t xml:space="preserve">and, most commonly, modelling population dynamics </w:t>
      </w:r>
      <w:r w:rsidR="00F81383">
        <w:rPr>
          <w:sz w:val="24"/>
          <w:szCs w:val="24"/>
        </w:rPr>
        <w:fldChar w:fldCharType="begin"/>
      </w:r>
      <w:r w:rsidR="00F81383">
        <w:rPr>
          <w:sz w:val="24"/>
          <w:szCs w:val="24"/>
        </w:rPr>
        <w:instrText xml:space="preserve"> ADDIN ZOTERO_ITEM CSL_CITATION {"citationID":"jNXkRPJj","properties":{"formattedCitation":"(Newman et al., 2014)","plainCitation":"(Newman et al., 2014)","noteIndex":0},"citationItems":[{"id":104,"uris":["http://zotero.org/users/7587894/items/4RF6AC9B"],"uri":["http://zotero.org/users/7587894/items/4RF6AC9B"],"itemData":{"id":104,"type":"chapter","abstract":"In the previous chapter, a sequence of matrices was used to model the sequence of subprocesses, birth, survival, movement, etc., which characterize population dynamics. We find this building block perspective attractive for at least two reasons: (1) it allows one to mentally “divide and conquer” sometimes complicated population dynamics processes; (2) the resulting product of matrices is a generalization of Leslie and Lefkovitch matrices, something familiar to many biologists.","collection-title":"Methods in Statistical Ecology","container-title":"Modelling Population Dynamics: Model Formulation, Fitting and Assessment using State-Space Methods","event-place":"New York, NY","ISBN":"978-1-4939-0977-3","language":"en","note":"DOI: 10.1007/978-1-4939-0977-3_3","page":"39-50","publisher":"Springer","publisher-place":"New York, NY","source":"Springer Link","title":"State-Space Models","URL":"https://doi.org/10.1007/978-1-4939-0977-3_3","author":[{"family":"Newman","given":"K. B."},{"family":"Buckland","given":"S. T."},{"family":"Morgan","given":"B. J. T."},{"family":"King","given":"R."},{"family":"Borchers","given":"D. L."},{"family":"Cole","given":"D. J."},{"family":"Besbeas","given":"P."},{"family":"Gimenez","given":"O."},{"family":"Thomas","given":"L."}],"editor":[{"family":"Newman","given":"K. B."},{"family":"Buckland","given":"S. T."},{"family":"Morgan","given":"B. J. T."},{"family":"King","given":"R."},{"family":"Borchers","given":"D. L."},{"family":"Cole","given":"D. J."},{"family":"Besbeas","given":"P."},{"family":"Gimenez","given":"O."},{"family":"Thomas","given":"L."}],"accessed":{"date-parts":[["2021",10,4]]},"issued":{"date-parts":[["2014"]]}}}],"schema":"https://github.com/citation-style-language/schema/raw/master/csl-citation.json"} </w:instrText>
      </w:r>
      <w:r w:rsidR="00F81383">
        <w:rPr>
          <w:sz w:val="24"/>
          <w:szCs w:val="24"/>
        </w:rPr>
        <w:fldChar w:fldCharType="separate"/>
      </w:r>
      <w:r w:rsidR="00F81383" w:rsidRPr="00F81383">
        <w:rPr>
          <w:rFonts w:ascii="Calibri" w:hAnsi="Calibri" w:cs="Calibri"/>
          <w:sz w:val="24"/>
        </w:rPr>
        <w:t>(Newman et al., 2014)</w:t>
      </w:r>
      <w:r w:rsidR="00F81383">
        <w:rPr>
          <w:sz w:val="24"/>
          <w:szCs w:val="24"/>
        </w:rPr>
        <w:fldChar w:fldCharType="end"/>
      </w:r>
      <w:r w:rsidR="00FE4B6A">
        <w:rPr>
          <w:sz w:val="24"/>
          <w:szCs w:val="24"/>
        </w:rPr>
        <w:t>.</w:t>
      </w:r>
      <w:r w:rsidR="00F81383">
        <w:rPr>
          <w:sz w:val="24"/>
          <w:szCs w:val="24"/>
        </w:rPr>
        <w:t xml:space="preserve"> These are only a few examples of where SSMs are used. Their application in ecology is vast. </w:t>
      </w:r>
    </w:p>
    <w:p w14:paraId="024D59BC" w14:textId="4A9A05BB" w:rsidR="006818E9" w:rsidRDefault="00514B59">
      <w:pPr>
        <w:rPr>
          <w:sz w:val="24"/>
          <w:szCs w:val="24"/>
        </w:rPr>
      </w:pPr>
      <w:r>
        <w:rPr>
          <w:sz w:val="24"/>
          <w:szCs w:val="24"/>
        </w:rPr>
        <w:t xml:space="preserve">SSMs are able to model temporal autocorrelation in such a way that it separates observation error from process error </w:t>
      </w:r>
      <w:r>
        <w:rPr>
          <w:sz w:val="24"/>
          <w:szCs w:val="24"/>
        </w:rPr>
        <w:fldChar w:fldCharType="begin"/>
      </w:r>
      <w:r>
        <w:rPr>
          <w:sz w:val="24"/>
          <w:szCs w:val="24"/>
        </w:rPr>
        <w:instrText xml:space="preserve"> ADDIN ZOTERO_ITEM CSL_CITATION {"citationID":"nTrRKYb8","properties":{"formattedCitation":"(Auger-M\\uc0\\u233{}th\\uc0\\u233{}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Pr>
          <w:sz w:val="24"/>
          <w:szCs w:val="24"/>
        </w:rPr>
        <w:fldChar w:fldCharType="separate"/>
      </w:r>
      <w:r w:rsidRPr="00514B59">
        <w:rPr>
          <w:rFonts w:ascii="Calibri" w:hAnsi="Calibri" w:cs="Calibri"/>
          <w:sz w:val="24"/>
          <w:szCs w:val="24"/>
        </w:rPr>
        <w:t>(Auger-Méthé et al., 2021)</w:t>
      </w:r>
      <w:r>
        <w:rPr>
          <w:sz w:val="24"/>
          <w:szCs w:val="24"/>
        </w:rPr>
        <w:fldChar w:fldCharType="end"/>
      </w:r>
      <w:r>
        <w:rPr>
          <w:sz w:val="24"/>
          <w:szCs w:val="24"/>
        </w:rPr>
        <w:t>. Herein lies the value of SSMs. SSMs are hierarchical models that essentially model two different time series. One being the state process</w:t>
      </w:r>
      <w:r w:rsidR="0057416A">
        <w:rPr>
          <w:sz w:val="24"/>
          <w:szCs w:val="24"/>
        </w:rPr>
        <w:t xml:space="preserve"> (latent process, hidden process)</w:t>
      </w:r>
      <w:r>
        <w:rPr>
          <w:sz w:val="24"/>
          <w:szCs w:val="24"/>
        </w:rPr>
        <w:t xml:space="preserve"> which is the unobserved time series that represents the true underlying population dynamics. The other being the observation process that represents the observed counts of that state process. </w:t>
      </w:r>
      <w:r w:rsidR="009D1413">
        <w:rPr>
          <w:sz w:val="24"/>
          <w:szCs w:val="24"/>
        </w:rPr>
        <w:t>For example, in a situation where you are analysing the population dynamics of bird species, the actual bird population would be the state process and the bird counts would be the observation process. The bird counts would</w:t>
      </w:r>
      <w:r w:rsidR="00773F3E">
        <w:rPr>
          <w:sz w:val="24"/>
          <w:szCs w:val="24"/>
        </w:rPr>
        <w:t>,</w:t>
      </w:r>
      <w:r w:rsidR="009D1413">
        <w:rPr>
          <w:sz w:val="24"/>
          <w:szCs w:val="24"/>
        </w:rPr>
        <w:t xml:space="preserve"> of</w:t>
      </w:r>
      <w:r w:rsidR="00773F3E">
        <w:rPr>
          <w:sz w:val="24"/>
          <w:szCs w:val="24"/>
        </w:rPr>
        <w:t xml:space="preserve"> </w:t>
      </w:r>
      <w:r w:rsidR="009D1413">
        <w:rPr>
          <w:sz w:val="24"/>
          <w:szCs w:val="24"/>
        </w:rPr>
        <w:t>course</w:t>
      </w:r>
      <w:r w:rsidR="00773F3E">
        <w:rPr>
          <w:sz w:val="24"/>
          <w:szCs w:val="24"/>
        </w:rPr>
        <w:t>,</w:t>
      </w:r>
      <w:r w:rsidR="009D1413">
        <w:rPr>
          <w:sz w:val="24"/>
          <w:szCs w:val="24"/>
        </w:rPr>
        <w:t xml:space="preserve"> be subject to observation error. Therefore, separating the observation process from the state process provides a more accurate </w:t>
      </w:r>
      <w:r w:rsidR="00773F3E">
        <w:rPr>
          <w:sz w:val="24"/>
          <w:szCs w:val="24"/>
        </w:rPr>
        <w:t xml:space="preserve">estimation of the true population. </w:t>
      </w:r>
      <w:r>
        <w:rPr>
          <w:sz w:val="24"/>
          <w:szCs w:val="24"/>
        </w:rPr>
        <w:t xml:space="preserve">The beauty in this methodology is that variation attributed to population size, population growth rate, environmental stochasticity and any other forms of stochasticity can be </w:t>
      </w:r>
      <w:r w:rsidR="009D1413">
        <w:rPr>
          <w:sz w:val="24"/>
          <w:szCs w:val="24"/>
        </w:rPr>
        <w:t xml:space="preserve">estimated and programmed into the model </w:t>
      </w:r>
      <w:r w:rsidR="009D1413">
        <w:rPr>
          <w:sz w:val="24"/>
          <w:szCs w:val="24"/>
        </w:rPr>
        <w:fldChar w:fldCharType="begin"/>
      </w:r>
      <w:r w:rsidR="009D1413">
        <w:rPr>
          <w:sz w:val="24"/>
          <w:szCs w:val="24"/>
        </w:rPr>
        <w:instrText xml:space="preserve"> ADDIN ZOTERO_ITEM CSL_CITATION {"citationID":"aCcELXYP","properties":{"formattedCitation":"(K\\uc0\\u233{}ry &amp; Schaub, 2011)","plainCitation":"(Kéry &amp; Schaub, 2011)","noteIndex":0},"citationItems":[{"id":13,"uris":["http://zotero.org/users/7587894/items/DFD6XRWQ"],"uri":["http://zotero.org/users/7587894/items/DFD6XRWQ"],"itemData":{"id":13,"type":"article-journal","language":"en","page":"444","source":"Zotero","title":"Bayesian Population Analysis using WinBUGS ‐","author":[{"family":"Kéry","given":"Marc"},{"family":"Schaub","given":"Michael"}],"issued":{"date-parts":[["2011",4]]}}}],"schema":"https://github.com/citation-style-language/schema/raw/master/csl-citation.json"} </w:instrText>
      </w:r>
      <w:r w:rsidR="009D1413">
        <w:rPr>
          <w:sz w:val="24"/>
          <w:szCs w:val="24"/>
        </w:rPr>
        <w:fldChar w:fldCharType="separate"/>
      </w:r>
      <w:r w:rsidR="009D1413" w:rsidRPr="009D1413">
        <w:rPr>
          <w:rFonts w:ascii="Calibri" w:hAnsi="Calibri" w:cs="Calibri"/>
          <w:sz w:val="24"/>
          <w:szCs w:val="24"/>
        </w:rPr>
        <w:t>(Kéry &amp; Schaub, 2011)</w:t>
      </w:r>
      <w:r w:rsidR="009D1413">
        <w:rPr>
          <w:sz w:val="24"/>
          <w:szCs w:val="24"/>
        </w:rPr>
        <w:fldChar w:fldCharType="end"/>
      </w:r>
      <w:r w:rsidR="009D1413">
        <w:rPr>
          <w:sz w:val="24"/>
          <w:szCs w:val="24"/>
        </w:rPr>
        <w:t xml:space="preserve">. This allows the ecologist to program the SSM time series such that it accounts for known biological factors that affect the population dynamics. This includes birth rates, death rates, fecundity, immigration, emigration, etc. </w:t>
      </w:r>
      <w:r w:rsidR="00773F3E" w:rsidRPr="00773F3E">
        <w:rPr>
          <w:sz w:val="24"/>
          <w:szCs w:val="24"/>
          <w:highlight w:val="yellow"/>
        </w:rPr>
        <w:t>Figure 1</w:t>
      </w:r>
      <w:r w:rsidR="00773F3E">
        <w:rPr>
          <w:sz w:val="24"/>
          <w:szCs w:val="24"/>
        </w:rPr>
        <w:t xml:space="preserve"> shows a visual illustration of this separation between state and observation processes.</w:t>
      </w:r>
    </w:p>
    <w:p w14:paraId="51F16B88" w14:textId="303F105E" w:rsidR="00773F3E" w:rsidRDefault="00773F3E">
      <w:pPr>
        <w:rPr>
          <w:sz w:val="24"/>
          <w:szCs w:val="24"/>
        </w:rPr>
      </w:pPr>
      <w:r>
        <w:rPr>
          <w:sz w:val="24"/>
          <w:szCs w:val="24"/>
        </w:rPr>
        <w:t>When using SSMs one must take a few assumptions into consideration:</w:t>
      </w:r>
    </w:p>
    <w:p w14:paraId="22A32646" w14:textId="56923E09" w:rsidR="00773F3E" w:rsidRDefault="00FC6DD3" w:rsidP="00773F3E">
      <w:pPr>
        <w:pStyle w:val="ListParagraph"/>
        <w:numPr>
          <w:ilvl w:val="0"/>
          <w:numId w:val="1"/>
        </w:numPr>
        <w:rPr>
          <w:sz w:val="24"/>
          <w:szCs w:val="24"/>
        </w:rPr>
      </w:pPr>
      <w:r>
        <w:rPr>
          <w:sz w:val="24"/>
          <w:szCs w:val="24"/>
        </w:rPr>
        <w:t>SSMs can only produce unbiased estimates of population size if f</w:t>
      </w:r>
      <w:r w:rsidR="00773F3E">
        <w:rPr>
          <w:sz w:val="24"/>
          <w:szCs w:val="24"/>
        </w:rPr>
        <w:t>alse negative (detection probability) and false positive (double counting) observations cancel out on average.</w:t>
      </w:r>
    </w:p>
    <w:p w14:paraId="59E467E1" w14:textId="2A84B910" w:rsidR="00773F3E" w:rsidRDefault="00FC6DD3" w:rsidP="00773F3E">
      <w:pPr>
        <w:pStyle w:val="ListParagraph"/>
        <w:numPr>
          <w:ilvl w:val="0"/>
          <w:numId w:val="1"/>
        </w:numPr>
        <w:rPr>
          <w:sz w:val="24"/>
          <w:szCs w:val="24"/>
        </w:rPr>
      </w:pPr>
      <w:r>
        <w:rPr>
          <w:sz w:val="24"/>
          <w:szCs w:val="24"/>
        </w:rPr>
        <w:t>SSMs can only produce unbiased estimates if d</w:t>
      </w:r>
      <w:r w:rsidR="00773F3E">
        <w:rPr>
          <w:sz w:val="24"/>
          <w:szCs w:val="24"/>
        </w:rPr>
        <w:t>etection probability is less than 1 and has no discernible pattern over time.</w:t>
      </w:r>
    </w:p>
    <w:p w14:paraId="13D4D5E5" w14:textId="445AC91E" w:rsidR="00FC6DD3" w:rsidRDefault="00773F3E" w:rsidP="00FC6DD3">
      <w:pPr>
        <w:pStyle w:val="ListParagraph"/>
        <w:numPr>
          <w:ilvl w:val="0"/>
          <w:numId w:val="1"/>
        </w:numPr>
        <w:rPr>
          <w:sz w:val="24"/>
          <w:szCs w:val="24"/>
        </w:rPr>
      </w:pPr>
      <w:r>
        <w:rPr>
          <w:sz w:val="24"/>
          <w:szCs w:val="24"/>
        </w:rPr>
        <w:lastRenderedPageBreak/>
        <w:t xml:space="preserve">Unbiased </w:t>
      </w:r>
      <w:r w:rsidR="00FC6DD3">
        <w:rPr>
          <w:sz w:val="24"/>
          <w:szCs w:val="24"/>
        </w:rPr>
        <w:t>estimates cannot be produced if there are temporal patterns in detection probability or false positive rates.</w:t>
      </w:r>
    </w:p>
    <w:p w14:paraId="57AC299E" w14:textId="1ACA9971" w:rsidR="00FC6DD3" w:rsidRPr="00FC6DD3" w:rsidRDefault="00FC6DD3" w:rsidP="008974A8">
      <w:pPr>
        <w:pStyle w:val="ListParagraph"/>
        <w:rPr>
          <w:sz w:val="24"/>
          <w:szCs w:val="24"/>
        </w:rPr>
      </w:pPr>
      <w:r>
        <w:rPr>
          <w:sz w:val="24"/>
          <w:szCs w:val="24"/>
        </w:rPr>
        <w:fldChar w:fldCharType="begin"/>
      </w:r>
      <w:r>
        <w:rPr>
          <w:sz w:val="24"/>
          <w:szCs w:val="24"/>
        </w:rPr>
        <w:instrText xml:space="preserve"> ADDIN ZOTERO_ITEM CSL_CITATION {"citationID":"tDsSAUpj","properties":{"formattedCitation":"(K\\uc0\\u233{}ry &amp; Schaub, 2011)","plainCitation":"(Kéry &amp; Schaub, 2011)","noteIndex":0},"citationItems":[{"id":13,"uris":["http://zotero.org/users/7587894/items/DFD6XRWQ"],"uri":["http://zotero.org/users/7587894/items/DFD6XRWQ"],"itemData":{"id":13,"type":"article-journal","language":"en","page":"444","source":"Zotero","title":"Bayesian Population Analysis using WinBUGS ‐","author":[{"family":"Kéry","given":"Marc"},{"family":"Schaub","given":"Michael"}],"issued":{"date-parts":[["2011",4]]}}}],"schema":"https://github.com/citation-style-language/schema/raw/master/csl-citation.json"} </w:instrText>
      </w:r>
      <w:r>
        <w:rPr>
          <w:sz w:val="24"/>
          <w:szCs w:val="24"/>
        </w:rPr>
        <w:fldChar w:fldCharType="separate"/>
      </w:r>
      <w:r w:rsidRPr="00FC6DD3">
        <w:rPr>
          <w:rFonts w:ascii="Calibri" w:hAnsi="Calibri" w:cs="Calibri"/>
          <w:sz w:val="24"/>
          <w:szCs w:val="24"/>
        </w:rPr>
        <w:t>(Kéry &amp; Schaub, 2011)</w:t>
      </w:r>
      <w:r>
        <w:rPr>
          <w:sz w:val="24"/>
          <w:szCs w:val="24"/>
        </w:rPr>
        <w:fldChar w:fldCharType="end"/>
      </w:r>
    </w:p>
    <w:p w14:paraId="7BDBAF2F" w14:textId="77777777" w:rsidR="002030E6" w:rsidRDefault="002030E6">
      <w:pPr>
        <w:rPr>
          <w:b/>
          <w:bCs/>
          <w:sz w:val="28"/>
          <w:szCs w:val="28"/>
        </w:rPr>
      </w:pPr>
    </w:p>
    <w:p w14:paraId="0C555E21" w14:textId="249B7B73" w:rsidR="003527B0" w:rsidRPr="00BA0ACB" w:rsidRDefault="00B505BD">
      <w:pPr>
        <w:rPr>
          <w:b/>
          <w:bCs/>
          <w:sz w:val="28"/>
          <w:szCs w:val="28"/>
        </w:rPr>
      </w:pPr>
      <w:r>
        <w:rPr>
          <w:b/>
          <w:bCs/>
          <w:sz w:val="28"/>
          <w:szCs w:val="28"/>
        </w:rPr>
        <w:t>Types of SSMs</w:t>
      </w:r>
    </w:p>
    <w:p w14:paraId="64086DCE" w14:textId="47B04AF0" w:rsidR="00BB20B2" w:rsidRDefault="00BB20B2">
      <w:pPr>
        <w:rPr>
          <w:sz w:val="24"/>
          <w:szCs w:val="24"/>
        </w:rPr>
      </w:pPr>
      <w:r>
        <w:rPr>
          <w:sz w:val="24"/>
          <w:szCs w:val="24"/>
        </w:rPr>
        <w:t>There are many ways to develop an SSM. The key aspects to determine the structure of the model is based on your data and the requirements of the research. This section explores and scrutinizes some of the SSM models that can be used in the context of</w:t>
      </w:r>
      <w:r w:rsidR="0071159F">
        <w:rPr>
          <w:sz w:val="24"/>
          <w:szCs w:val="24"/>
        </w:rPr>
        <w:t xml:space="preserve"> avian</w:t>
      </w:r>
      <w:r>
        <w:rPr>
          <w:sz w:val="24"/>
          <w:szCs w:val="24"/>
        </w:rPr>
        <w:t xml:space="preserve"> population dynamics.</w:t>
      </w:r>
    </w:p>
    <w:p w14:paraId="1520C112" w14:textId="77777777" w:rsidR="002030E6" w:rsidRDefault="002030E6">
      <w:pPr>
        <w:rPr>
          <w:b/>
          <w:bCs/>
          <w:sz w:val="24"/>
          <w:szCs w:val="24"/>
        </w:rPr>
      </w:pPr>
    </w:p>
    <w:p w14:paraId="107034C4" w14:textId="24F2E3FA" w:rsidR="00022822" w:rsidRPr="00022822" w:rsidRDefault="00022822">
      <w:pPr>
        <w:rPr>
          <w:b/>
          <w:bCs/>
          <w:sz w:val="24"/>
          <w:szCs w:val="24"/>
        </w:rPr>
      </w:pPr>
      <w:r w:rsidRPr="00022822">
        <w:rPr>
          <w:b/>
          <w:bCs/>
          <w:sz w:val="24"/>
          <w:szCs w:val="24"/>
        </w:rPr>
        <w:t xml:space="preserve">Simple </w:t>
      </w:r>
      <w:r w:rsidR="0071159F">
        <w:rPr>
          <w:b/>
          <w:bCs/>
          <w:sz w:val="24"/>
          <w:szCs w:val="24"/>
        </w:rPr>
        <w:t xml:space="preserve">Exponential </w:t>
      </w:r>
      <w:r w:rsidRPr="00022822">
        <w:rPr>
          <w:b/>
          <w:bCs/>
          <w:sz w:val="24"/>
          <w:szCs w:val="24"/>
        </w:rPr>
        <w:t>Model</w:t>
      </w:r>
    </w:p>
    <w:p w14:paraId="1F1DF170" w14:textId="00F1C730" w:rsidR="008740CA" w:rsidRDefault="008740CA">
      <w:pPr>
        <w:rPr>
          <w:sz w:val="24"/>
          <w:szCs w:val="24"/>
        </w:rPr>
      </w:pPr>
      <w:r>
        <w:rPr>
          <w:sz w:val="24"/>
          <w:szCs w:val="24"/>
        </w:rPr>
        <w:t xml:space="preserve">The first model to consider is the simplest. SSMs, when applied to population dynamics, exhibits a Markovian process. </w:t>
      </w:r>
      <w:r w:rsidR="00B505BD">
        <w:rPr>
          <w:sz w:val="24"/>
          <w:szCs w:val="24"/>
        </w:rPr>
        <w:t>This means t</w:t>
      </w:r>
      <w:r>
        <w:rPr>
          <w:sz w:val="24"/>
          <w:szCs w:val="24"/>
        </w:rPr>
        <w:t>he population size at time t+1 is dependent on the population size at time t. A simple model to describe the SSM is the exponential population dynamics model:</w:t>
      </w:r>
    </w:p>
    <w:p w14:paraId="044A6519" w14:textId="234F70DB" w:rsidR="008740CA" w:rsidRDefault="008740CA" w:rsidP="008740CA">
      <w:pPr>
        <w:jc w:val="center"/>
        <w:rPr>
          <w:sz w:val="24"/>
          <w:szCs w:val="24"/>
        </w:rPr>
      </w:pPr>
      <w:r>
        <w:rPr>
          <w:noProof/>
        </w:rPr>
        <w:drawing>
          <wp:inline distT="0" distB="0" distL="0" distR="0" wp14:anchorId="29AF873D" wp14:editId="20ACC151">
            <wp:extent cx="962025" cy="17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025" cy="171450"/>
                    </a:xfrm>
                    <a:prstGeom prst="rect">
                      <a:avLst/>
                    </a:prstGeom>
                    <a:noFill/>
                    <a:ln>
                      <a:noFill/>
                    </a:ln>
                  </pic:spPr>
                </pic:pic>
              </a:graphicData>
            </a:graphic>
          </wp:inline>
        </w:drawing>
      </w:r>
      <w:r w:rsidR="009F4691">
        <w:rPr>
          <w:sz w:val="24"/>
          <w:szCs w:val="24"/>
        </w:rPr>
        <w:t xml:space="preserve"> (1)</w:t>
      </w:r>
    </w:p>
    <w:p w14:paraId="2B8E49FC" w14:textId="7F47CF89" w:rsidR="00C055FC" w:rsidRDefault="00C055FC">
      <w:pPr>
        <w:rPr>
          <w:sz w:val="24"/>
          <w:szCs w:val="24"/>
        </w:rPr>
      </w:pPr>
      <w:r>
        <w:rPr>
          <w:noProof/>
        </w:rPr>
        <w:drawing>
          <wp:anchor distT="0" distB="0" distL="114300" distR="114300" simplePos="0" relativeHeight="251658240" behindDoc="1" locked="0" layoutInCell="1" allowOverlap="1" wp14:anchorId="3FEAD00D" wp14:editId="7C0227A3">
            <wp:simplePos x="0" y="0"/>
            <wp:positionH relativeFrom="column">
              <wp:posOffset>552450</wp:posOffset>
            </wp:positionH>
            <wp:positionV relativeFrom="paragraph">
              <wp:posOffset>8890</wp:posOffset>
            </wp:positionV>
            <wp:extent cx="161925" cy="171450"/>
            <wp:effectExtent l="0" t="0" r="9525" b="0"/>
            <wp:wrapTight wrapText="bothSides">
              <wp:wrapPolygon edited="0">
                <wp:start x="0" y="0"/>
                <wp:lineTo x="0" y="19200"/>
                <wp:lineTo x="20329" y="19200"/>
                <wp:lineTo x="203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40CA">
        <w:rPr>
          <w:sz w:val="24"/>
          <w:szCs w:val="24"/>
        </w:rPr>
        <w:t>Where</w:t>
      </w:r>
      <w:r w:rsidR="008740CA">
        <w:rPr>
          <w:rFonts w:ascii="Calibri" w:hAnsi="Calibri" w:cs="Calibri"/>
          <w:sz w:val="24"/>
          <w:szCs w:val="24"/>
        </w:rPr>
        <w:t xml:space="preserve"> </w:t>
      </w:r>
      <w:r>
        <w:rPr>
          <w:sz w:val="24"/>
          <w:szCs w:val="24"/>
        </w:rPr>
        <w:t xml:space="preserve">refers to the population growth rate at time t, T </w:t>
      </w:r>
      <w:r w:rsidR="00B505BD">
        <w:rPr>
          <w:sz w:val="24"/>
          <w:szCs w:val="24"/>
        </w:rPr>
        <w:t>refers to</w:t>
      </w:r>
      <w:r>
        <w:rPr>
          <w:sz w:val="24"/>
          <w:szCs w:val="24"/>
        </w:rPr>
        <w:t xml:space="preserve"> the number of years in the time series. </w:t>
      </w:r>
      <w:proofErr w:type="spellStart"/>
      <w:r>
        <w:rPr>
          <w:sz w:val="24"/>
          <w:szCs w:val="24"/>
        </w:rPr>
        <w:t>N</w:t>
      </w:r>
      <w:r>
        <w:rPr>
          <w:sz w:val="24"/>
          <w:szCs w:val="24"/>
          <w:vertAlign w:val="subscript"/>
        </w:rPr>
        <w:t>t</w:t>
      </w:r>
      <w:proofErr w:type="spellEnd"/>
      <w:r>
        <w:rPr>
          <w:sz w:val="24"/>
          <w:szCs w:val="24"/>
        </w:rPr>
        <w:t xml:space="preserve"> refers to the population size at time t. </w:t>
      </w:r>
      <w:proofErr w:type="spellStart"/>
      <w:r>
        <w:rPr>
          <w:sz w:val="24"/>
          <w:szCs w:val="24"/>
        </w:rPr>
        <w:t>Kery</w:t>
      </w:r>
      <w:proofErr w:type="spellEnd"/>
      <w:r>
        <w:rPr>
          <w:sz w:val="24"/>
          <w:szCs w:val="24"/>
        </w:rPr>
        <w:t xml:space="preserve"> and Shaub (2011) use this model as the basis to understand SSMs. </w:t>
      </w:r>
    </w:p>
    <w:p w14:paraId="68E5707B" w14:textId="3B8247EF" w:rsidR="009F4691" w:rsidRDefault="00C055FC">
      <w:pPr>
        <w:rPr>
          <w:sz w:val="24"/>
          <w:szCs w:val="24"/>
        </w:rPr>
      </w:pPr>
      <w:r>
        <w:rPr>
          <w:sz w:val="24"/>
          <w:szCs w:val="24"/>
        </w:rPr>
        <w:t>The fundamental goal of population dynamics analysis is to calculate the population growth rate and determine the factors affecting it. This is a straightforward task</w:t>
      </w:r>
      <w:r w:rsidR="00B505BD">
        <w:rPr>
          <w:sz w:val="24"/>
          <w:szCs w:val="24"/>
        </w:rPr>
        <w:t xml:space="preserve"> when</w:t>
      </w:r>
      <w:r>
        <w:rPr>
          <w:sz w:val="24"/>
          <w:szCs w:val="24"/>
        </w:rPr>
        <w:t xml:space="preserve"> the true population is known each year. With a true population size the ecologist </w:t>
      </w:r>
      <w:r w:rsidR="009F4691">
        <w:rPr>
          <w:sz w:val="24"/>
          <w:szCs w:val="24"/>
        </w:rPr>
        <w:t>can</w:t>
      </w:r>
      <w:r>
        <w:rPr>
          <w:sz w:val="24"/>
          <w:szCs w:val="24"/>
        </w:rPr>
        <w:t xml:space="preserve"> determine </w:t>
      </w:r>
      <w:r w:rsidR="009F4691">
        <w:rPr>
          <w:sz w:val="24"/>
          <w:szCs w:val="24"/>
        </w:rPr>
        <w:t xml:space="preserve">factors such as </w:t>
      </w:r>
      <w:r>
        <w:rPr>
          <w:sz w:val="24"/>
          <w:szCs w:val="24"/>
        </w:rPr>
        <w:t xml:space="preserve">the strength of </w:t>
      </w:r>
      <w:r w:rsidR="009F4691">
        <w:rPr>
          <w:sz w:val="24"/>
          <w:szCs w:val="24"/>
        </w:rPr>
        <w:t xml:space="preserve">density dependence and the influence of the environment on the population. </w:t>
      </w:r>
      <w:r>
        <w:rPr>
          <w:sz w:val="24"/>
          <w:szCs w:val="24"/>
        </w:rPr>
        <w:t xml:space="preserve">However, </w:t>
      </w:r>
      <w:r w:rsidR="009F4691">
        <w:rPr>
          <w:sz w:val="24"/>
          <w:szCs w:val="24"/>
        </w:rPr>
        <w:t xml:space="preserve">knowing the true population of a species is </w:t>
      </w:r>
      <w:r w:rsidR="00B505BD">
        <w:rPr>
          <w:sz w:val="24"/>
          <w:szCs w:val="24"/>
        </w:rPr>
        <w:t>rarely</w:t>
      </w:r>
      <w:r w:rsidR="009F4691">
        <w:rPr>
          <w:sz w:val="24"/>
          <w:szCs w:val="24"/>
        </w:rPr>
        <w:t xml:space="preserve"> possible</w:t>
      </w:r>
      <w:r w:rsidR="00B505BD">
        <w:rPr>
          <w:sz w:val="24"/>
          <w:szCs w:val="24"/>
        </w:rPr>
        <w:t xml:space="preserve"> depending on the species being monitored</w:t>
      </w:r>
      <w:r w:rsidR="009F4691">
        <w:rPr>
          <w:sz w:val="24"/>
          <w:szCs w:val="24"/>
        </w:rPr>
        <w:t>. Instead</w:t>
      </w:r>
      <w:r w:rsidR="00B505BD">
        <w:rPr>
          <w:sz w:val="24"/>
          <w:szCs w:val="24"/>
        </w:rPr>
        <w:t>,</w:t>
      </w:r>
      <w:r w:rsidR="009F4691">
        <w:rPr>
          <w:sz w:val="24"/>
          <w:szCs w:val="24"/>
        </w:rPr>
        <w:t xml:space="preserve"> the ecologist only has raw counts which are highly susceptible to observation error. This observation error must be accounted for in the model. If not, the ecologist could misinterpret observation error for some form of biological variation.</w:t>
      </w:r>
    </w:p>
    <w:p w14:paraId="3F587AEF" w14:textId="78018933" w:rsidR="00C055FC" w:rsidRDefault="009F4691">
      <w:pPr>
        <w:rPr>
          <w:sz w:val="24"/>
          <w:szCs w:val="24"/>
        </w:rPr>
      </w:pPr>
      <w:r>
        <w:rPr>
          <w:sz w:val="24"/>
          <w:szCs w:val="24"/>
        </w:rPr>
        <w:t xml:space="preserve">SSMs deal with observation error as it separates the state process from the observation process. Equation 1 </w:t>
      </w:r>
      <w:r w:rsidR="000A1616">
        <w:rPr>
          <w:sz w:val="24"/>
          <w:szCs w:val="24"/>
        </w:rPr>
        <w:t>represents the state process:</w:t>
      </w:r>
    </w:p>
    <w:p w14:paraId="6DF965D5" w14:textId="67A57C2C" w:rsidR="000A1616" w:rsidRDefault="000A1616" w:rsidP="000A1616">
      <w:pPr>
        <w:jc w:val="center"/>
        <w:rPr>
          <w:sz w:val="24"/>
          <w:szCs w:val="24"/>
        </w:rPr>
      </w:pPr>
      <w:r>
        <w:rPr>
          <w:noProof/>
        </w:rPr>
        <w:drawing>
          <wp:inline distT="0" distB="0" distL="0" distR="0" wp14:anchorId="2C9A489D" wp14:editId="35E06A61">
            <wp:extent cx="96202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025" cy="171450"/>
                    </a:xfrm>
                    <a:prstGeom prst="rect">
                      <a:avLst/>
                    </a:prstGeom>
                    <a:noFill/>
                    <a:ln>
                      <a:noFill/>
                    </a:ln>
                  </pic:spPr>
                </pic:pic>
              </a:graphicData>
            </a:graphic>
          </wp:inline>
        </w:drawing>
      </w:r>
      <w:r>
        <w:rPr>
          <w:sz w:val="24"/>
          <w:szCs w:val="24"/>
        </w:rPr>
        <w:t xml:space="preserve"> (1)</w:t>
      </w:r>
    </w:p>
    <w:p w14:paraId="155B0B40" w14:textId="52998551" w:rsidR="000A1616" w:rsidRDefault="000A1616" w:rsidP="000A1616">
      <w:pPr>
        <w:jc w:val="center"/>
        <w:rPr>
          <w:sz w:val="24"/>
          <w:szCs w:val="24"/>
        </w:rPr>
      </w:pPr>
      <w:r>
        <w:rPr>
          <w:noProof/>
        </w:rPr>
        <w:drawing>
          <wp:inline distT="0" distB="0" distL="0" distR="0" wp14:anchorId="051D1956" wp14:editId="32FE4799">
            <wp:extent cx="140017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238125"/>
                    </a:xfrm>
                    <a:prstGeom prst="rect">
                      <a:avLst/>
                    </a:prstGeom>
                    <a:noFill/>
                    <a:ln>
                      <a:noFill/>
                    </a:ln>
                  </pic:spPr>
                </pic:pic>
              </a:graphicData>
            </a:graphic>
          </wp:inline>
        </w:drawing>
      </w:r>
      <w:r>
        <w:rPr>
          <w:sz w:val="24"/>
          <w:szCs w:val="24"/>
        </w:rPr>
        <w:t xml:space="preserve"> (2)</w:t>
      </w:r>
    </w:p>
    <w:p w14:paraId="669C6364" w14:textId="1023B4B0" w:rsidR="000A1616" w:rsidRDefault="000A1616" w:rsidP="000A1616">
      <w:pPr>
        <w:rPr>
          <w:sz w:val="24"/>
          <w:szCs w:val="24"/>
        </w:rPr>
      </w:pPr>
      <w:r>
        <w:rPr>
          <w:sz w:val="24"/>
          <w:szCs w:val="24"/>
        </w:rPr>
        <w:t>In the case of the SSM, the population growth rate is represented as a Normal random process. The mean,</w:t>
      </w:r>
      <w:r w:rsidRPr="000A1616">
        <w:rPr>
          <w:noProof/>
        </w:rPr>
        <w:t xml:space="preserve"> </w:t>
      </w:r>
      <w:r>
        <w:rPr>
          <w:noProof/>
        </w:rPr>
        <w:drawing>
          <wp:inline distT="0" distB="0" distL="0" distR="0" wp14:anchorId="30DCCB57" wp14:editId="21719688">
            <wp:extent cx="11430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sz w:val="24"/>
          <w:szCs w:val="24"/>
        </w:rPr>
        <w:t xml:space="preserve"> , is the long-term growth rate of the population. The variance, </w:t>
      </w:r>
      <w:r>
        <w:rPr>
          <w:noProof/>
        </w:rPr>
        <w:drawing>
          <wp:inline distT="0" distB="0" distL="0" distR="0" wp14:anchorId="527CF0FB" wp14:editId="554381C8">
            <wp:extent cx="190500" cy="20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Pr>
          <w:sz w:val="24"/>
          <w:szCs w:val="24"/>
        </w:rPr>
        <w:t>, represents the stochasticity of the growth rate caused by environmental variability.</w:t>
      </w:r>
      <w:r w:rsidR="006E36F9">
        <w:rPr>
          <w:sz w:val="24"/>
          <w:szCs w:val="24"/>
        </w:rPr>
        <w:t xml:space="preserve"> The first </w:t>
      </w:r>
      <w:r w:rsidR="006E36F9">
        <w:rPr>
          <w:sz w:val="24"/>
          <w:szCs w:val="24"/>
        </w:rPr>
        <w:lastRenderedPageBreak/>
        <w:t>year, N</w:t>
      </w:r>
      <w:r w:rsidR="006E36F9">
        <w:rPr>
          <w:sz w:val="24"/>
          <w:szCs w:val="24"/>
          <w:vertAlign w:val="subscript"/>
        </w:rPr>
        <w:t>1</w:t>
      </w:r>
      <w:r w:rsidR="006E36F9">
        <w:rPr>
          <w:sz w:val="24"/>
          <w:szCs w:val="24"/>
        </w:rPr>
        <w:t>, isn’t defined in equation 1 but modelled as a prior distribution in a Bayesian framework or it can be fixed to the initial count.</w:t>
      </w:r>
    </w:p>
    <w:p w14:paraId="44D7880C" w14:textId="5CFA09B6" w:rsidR="006E36F9" w:rsidRDefault="006E36F9" w:rsidP="000A1616">
      <w:pPr>
        <w:rPr>
          <w:sz w:val="24"/>
          <w:szCs w:val="24"/>
        </w:rPr>
      </w:pPr>
      <w:r>
        <w:rPr>
          <w:sz w:val="24"/>
          <w:szCs w:val="24"/>
        </w:rPr>
        <w:t>The next set of equations needed is the observations. The observations are dependent on the state process and are defined as follows:</w:t>
      </w:r>
    </w:p>
    <w:p w14:paraId="7F53646E" w14:textId="562C7053" w:rsidR="006E36F9" w:rsidRDefault="00897207" w:rsidP="00897207">
      <w:pPr>
        <w:jc w:val="center"/>
        <w:rPr>
          <w:sz w:val="24"/>
          <w:szCs w:val="24"/>
        </w:rPr>
      </w:pPr>
      <w:r>
        <w:rPr>
          <w:noProof/>
        </w:rPr>
        <w:drawing>
          <wp:inline distT="0" distB="0" distL="0" distR="0" wp14:anchorId="55048EEB" wp14:editId="0F635033">
            <wp:extent cx="86677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r>
        <w:rPr>
          <w:sz w:val="24"/>
          <w:szCs w:val="24"/>
        </w:rPr>
        <w:t xml:space="preserve"> (4)</w:t>
      </w:r>
    </w:p>
    <w:p w14:paraId="01DE01F0" w14:textId="73533873" w:rsidR="00897207" w:rsidRDefault="00897207" w:rsidP="00897207">
      <w:pPr>
        <w:jc w:val="center"/>
        <w:rPr>
          <w:sz w:val="24"/>
          <w:szCs w:val="24"/>
        </w:rPr>
      </w:pPr>
      <w:r>
        <w:rPr>
          <w:noProof/>
        </w:rPr>
        <w:drawing>
          <wp:inline distT="0" distB="0" distL="0" distR="0" wp14:anchorId="79FAB003" wp14:editId="0A55C2B8">
            <wp:extent cx="1362075" cy="20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inline>
        </w:drawing>
      </w:r>
      <w:r>
        <w:rPr>
          <w:sz w:val="24"/>
          <w:szCs w:val="24"/>
        </w:rPr>
        <w:t xml:space="preserve"> (5)</w:t>
      </w:r>
    </w:p>
    <w:p w14:paraId="5AA98B70" w14:textId="1F23056A" w:rsidR="00897207" w:rsidRDefault="00897207" w:rsidP="00897207">
      <w:pPr>
        <w:rPr>
          <w:rFonts w:cstheme="minorHAnsi"/>
          <w:sz w:val="24"/>
          <w:szCs w:val="24"/>
        </w:rPr>
      </w:pPr>
      <w:r>
        <w:rPr>
          <w:sz w:val="24"/>
          <w:szCs w:val="24"/>
        </w:rPr>
        <w:t xml:space="preserve">Here </w:t>
      </w:r>
      <w:proofErr w:type="spellStart"/>
      <w:r>
        <w:rPr>
          <w:sz w:val="24"/>
          <w:szCs w:val="24"/>
        </w:rPr>
        <w:t>y</w:t>
      </w:r>
      <w:r>
        <w:rPr>
          <w:sz w:val="24"/>
          <w:szCs w:val="24"/>
          <w:vertAlign w:val="subscript"/>
        </w:rPr>
        <w:t>t</w:t>
      </w:r>
      <w:proofErr w:type="spellEnd"/>
      <w:r>
        <w:rPr>
          <w:sz w:val="24"/>
          <w:szCs w:val="24"/>
        </w:rPr>
        <w:t xml:space="preserve"> represents the counts observed from the true population N</w:t>
      </w:r>
      <w:r>
        <w:rPr>
          <w:sz w:val="24"/>
          <w:szCs w:val="24"/>
          <w:vertAlign w:val="subscript"/>
        </w:rPr>
        <w:t>t</w:t>
      </w:r>
      <w:r>
        <w:rPr>
          <w:sz w:val="24"/>
          <w:szCs w:val="24"/>
        </w:rPr>
        <w:t xml:space="preserve">. </w:t>
      </w:r>
      <w:proofErr w:type="spellStart"/>
      <w:r>
        <w:rPr>
          <w:rFonts w:cstheme="minorHAnsi"/>
          <w:sz w:val="24"/>
          <w:szCs w:val="24"/>
        </w:rPr>
        <w:t>ε</w:t>
      </w:r>
      <w:r>
        <w:rPr>
          <w:rFonts w:cstheme="minorHAnsi"/>
          <w:sz w:val="24"/>
          <w:szCs w:val="24"/>
          <w:vertAlign w:val="subscript"/>
        </w:rPr>
        <w:t>t</w:t>
      </w:r>
      <w:proofErr w:type="spellEnd"/>
      <w:r>
        <w:rPr>
          <w:rFonts w:cstheme="minorHAnsi"/>
          <w:sz w:val="24"/>
          <w:szCs w:val="24"/>
          <w:vertAlign w:val="subscript"/>
        </w:rPr>
        <w:t xml:space="preserve"> </w:t>
      </w:r>
      <w:r>
        <w:rPr>
          <w:rFonts w:cstheme="minorHAnsi"/>
          <w:sz w:val="24"/>
          <w:szCs w:val="24"/>
        </w:rPr>
        <w:t xml:space="preserve">refers to the observation error with mean 0 and variance </w:t>
      </w:r>
      <w:r>
        <w:rPr>
          <w:noProof/>
        </w:rPr>
        <w:drawing>
          <wp:inline distT="0" distB="0" distL="0" distR="0" wp14:anchorId="7BD9A8F9" wp14:editId="74DED0F5">
            <wp:extent cx="180975" cy="20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Pr>
          <w:rFonts w:cstheme="minorHAnsi"/>
          <w:sz w:val="24"/>
          <w:szCs w:val="24"/>
        </w:rPr>
        <w:t xml:space="preserve"> (observation error). </w:t>
      </w:r>
      <w:r w:rsidR="00CF4DE3">
        <w:rPr>
          <w:rFonts w:cstheme="minorHAnsi"/>
          <w:sz w:val="24"/>
          <w:szCs w:val="24"/>
        </w:rPr>
        <w:t xml:space="preserve">The model assumes that </w:t>
      </w:r>
      <w:proofErr w:type="spellStart"/>
      <w:r w:rsidR="00CF4DE3">
        <w:rPr>
          <w:rFonts w:cstheme="minorHAnsi"/>
          <w:sz w:val="24"/>
          <w:szCs w:val="24"/>
        </w:rPr>
        <w:t>λ</w:t>
      </w:r>
      <w:r w:rsidR="00CF4DE3">
        <w:rPr>
          <w:rFonts w:cstheme="minorHAnsi"/>
          <w:sz w:val="24"/>
          <w:szCs w:val="24"/>
          <w:vertAlign w:val="subscript"/>
        </w:rPr>
        <w:t>t</w:t>
      </w:r>
      <w:proofErr w:type="spellEnd"/>
      <w:r w:rsidR="00CF4DE3">
        <w:rPr>
          <w:rFonts w:cstheme="minorHAnsi"/>
          <w:sz w:val="24"/>
          <w:szCs w:val="24"/>
        </w:rPr>
        <w:t xml:space="preserve"> and </w:t>
      </w:r>
      <w:proofErr w:type="spellStart"/>
      <w:r w:rsidR="00CF4DE3">
        <w:rPr>
          <w:rFonts w:cstheme="minorHAnsi"/>
          <w:sz w:val="24"/>
          <w:szCs w:val="24"/>
        </w:rPr>
        <w:t>ε</w:t>
      </w:r>
      <w:r w:rsidR="00CF4DE3">
        <w:rPr>
          <w:rFonts w:cstheme="minorHAnsi"/>
          <w:sz w:val="24"/>
          <w:szCs w:val="24"/>
          <w:vertAlign w:val="subscript"/>
        </w:rPr>
        <w:t>t</w:t>
      </w:r>
      <w:proofErr w:type="spellEnd"/>
      <w:r w:rsidR="00CF4DE3">
        <w:rPr>
          <w:rFonts w:cstheme="minorHAnsi"/>
          <w:sz w:val="24"/>
          <w:szCs w:val="24"/>
        </w:rPr>
        <w:t xml:space="preserve"> are serially independent. That </w:t>
      </w:r>
      <w:r w:rsidR="002030E6">
        <w:rPr>
          <w:rFonts w:cstheme="minorHAnsi"/>
          <w:sz w:val="24"/>
          <w:szCs w:val="24"/>
        </w:rPr>
        <w:t>is,</w:t>
      </w:r>
      <w:r w:rsidR="00CF4DE3">
        <w:rPr>
          <w:rFonts w:cstheme="minorHAnsi"/>
          <w:sz w:val="24"/>
          <w:szCs w:val="24"/>
        </w:rPr>
        <w:t xml:space="preserve"> they are independent from </w:t>
      </w:r>
      <w:proofErr w:type="gramStart"/>
      <w:r w:rsidR="00CF4DE3">
        <w:rPr>
          <w:rFonts w:cstheme="minorHAnsi"/>
          <w:sz w:val="24"/>
          <w:szCs w:val="24"/>
        </w:rPr>
        <w:t>each other</w:t>
      </w:r>
      <w:proofErr w:type="gramEnd"/>
      <w:r w:rsidR="00CF4DE3">
        <w:rPr>
          <w:rFonts w:cstheme="minorHAnsi"/>
          <w:sz w:val="24"/>
          <w:szCs w:val="24"/>
        </w:rPr>
        <w:t xml:space="preserve"> and </w:t>
      </w:r>
      <w:r w:rsidR="007C4D6E">
        <w:rPr>
          <w:rFonts w:cstheme="minorHAnsi"/>
          <w:sz w:val="24"/>
          <w:szCs w:val="24"/>
        </w:rPr>
        <w:t>both are identically distributed.</w:t>
      </w:r>
    </w:p>
    <w:p w14:paraId="2AADE5DC" w14:textId="5A962D4F" w:rsidR="00022822" w:rsidRDefault="00022822" w:rsidP="00897207">
      <w:pPr>
        <w:rPr>
          <w:rFonts w:cstheme="minorHAnsi"/>
          <w:sz w:val="24"/>
          <w:szCs w:val="24"/>
        </w:rPr>
      </w:pPr>
      <w:r>
        <w:rPr>
          <w:rFonts w:cstheme="minorHAnsi"/>
          <w:sz w:val="24"/>
          <w:szCs w:val="24"/>
        </w:rPr>
        <w:t xml:space="preserve">These equations display the flexibility of the SSM. The state process can be modified to include processes such as survival rate, birth rate, immigration, etc. Or one could use a logarithmic model instead of an exponential one. </w:t>
      </w:r>
      <w:r w:rsidR="002030E6">
        <w:rPr>
          <w:rFonts w:cstheme="minorHAnsi"/>
          <w:sz w:val="24"/>
          <w:szCs w:val="24"/>
        </w:rPr>
        <w:t>T</w:t>
      </w:r>
      <w:r>
        <w:rPr>
          <w:rFonts w:cstheme="minorHAnsi"/>
          <w:sz w:val="24"/>
          <w:szCs w:val="24"/>
        </w:rPr>
        <w:t xml:space="preserve">he observation process can be modified to account for different types of observation errors such as binomial or </w:t>
      </w:r>
      <w:proofErr w:type="spellStart"/>
      <w:r>
        <w:rPr>
          <w:rFonts w:cstheme="minorHAnsi"/>
          <w:sz w:val="24"/>
          <w:szCs w:val="24"/>
        </w:rPr>
        <w:t>poisson</w:t>
      </w:r>
      <w:proofErr w:type="spellEnd"/>
      <w:r>
        <w:rPr>
          <w:rFonts w:cstheme="minorHAnsi"/>
          <w:sz w:val="24"/>
          <w:szCs w:val="24"/>
        </w:rPr>
        <w:t xml:space="preserve"> errors.</w:t>
      </w:r>
    </w:p>
    <w:p w14:paraId="341BAE1A" w14:textId="77777777" w:rsidR="002030E6" w:rsidRDefault="002030E6" w:rsidP="00897207">
      <w:pPr>
        <w:rPr>
          <w:b/>
          <w:bCs/>
          <w:sz w:val="24"/>
          <w:szCs w:val="24"/>
        </w:rPr>
      </w:pPr>
    </w:p>
    <w:p w14:paraId="1F00F16A" w14:textId="4E55293B" w:rsidR="00022822" w:rsidRPr="0071159F" w:rsidRDefault="00525D26" w:rsidP="00897207">
      <w:pPr>
        <w:rPr>
          <w:b/>
          <w:bCs/>
          <w:sz w:val="24"/>
          <w:szCs w:val="24"/>
        </w:rPr>
      </w:pPr>
      <w:r>
        <w:rPr>
          <w:b/>
          <w:bCs/>
          <w:sz w:val="24"/>
          <w:szCs w:val="24"/>
        </w:rPr>
        <w:t>SSM for migrant and non-migrant avian species</w:t>
      </w:r>
    </w:p>
    <w:p w14:paraId="0FBBF4B8" w14:textId="6D2EDA8C" w:rsidR="006E36F9" w:rsidRDefault="00D86A47">
      <w:pPr>
        <w:rPr>
          <w:sz w:val="24"/>
          <w:szCs w:val="24"/>
        </w:rPr>
      </w:pPr>
      <w:r>
        <w:rPr>
          <w:sz w:val="24"/>
          <w:szCs w:val="24"/>
        </w:rPr>
        <w:t xml:space="preserve">The simple model, described above, is very useful as it implicitly accounts for various biological and environmental variation. </w:t>
      </w:r>
      <w:r w:rsidR="00C01CC5">
        <w:rPr>
          <w:sz w:val="24"/>
          <w:szCs w:val="24"/>
        </w:rPr>
        <w:t>Given the flexibility of the</w:t>
      </w:r>
      <w:r w:rsidR="000B75E9">
        <w:rPr>
          <w:sz w:val="24"/>
          <w:szCs w:val="24"/>
        </w:rPr>
        <w:t xml:space="preserve"> model</w:t>
      </w:r>
      <w:r w:rsidR="00C01CC5">
        <w:rPr>
          <w:sz w:val="24"/>
          <w:szCs w:val="24"/>
        </w:rPr>
        <w:t xml:space="preserve">, one can modify the model to account for known biological processes that affect population variation. This works well when modelling migratory avian species </w:t>
      </w:r>
      <w:r w:rsidR="00C01CC5">
        <w:rPr>
          <w:sz w:val="24"/>
          <w:szCs w:val="24"/>
        </w:rPr>
        <w:fldChar w:fldCharType="begin"/>
      </w:r>
      <w:r w:rsidR="00C01CC5">
        <w:rPr>
          <w:sz w:val="24"/>
          <w:szCs w:val="24"/>
        </w:rPr>
        <w:instrText xml:space="preserve"> ADDIN ZOTERO_ITEM CSL_CITATION {"citationID":"1e5KrqXu","properties":{"formattedCitation":"(Barshep, 2017; Camp et al., 2016; Wilson et al., 2011)","plainCitation":"(Barshep, 2017; Camp et al., 2016; Wilson et al., 2011)","noteIndex":0},"citationItems":[{"id":7,"uris":["http://zotero.org/users/7587894/items/DGPP3TG2"],"uri":["http://zotero.org/users/7587894/items/DGPP3TG2"],"itemData":{"id":7,"type":"article-journal","abstract":"Identifying species most vulnerable to environmental change requires reliable estimates of population trends and identiﬁcation of traits that tend to be associated with these trends. Using state-space models that explicitly describe how the population size changes over time, we estimated population trends of 25 non-migratory African, 13 intra-African migrants, and 16 Palaearctic migratory waterbird species during 1995e2009 in South Africa. Using the average of the slope of the last ﬁve years (2005e2009), we used phylogenetic generalized least squares analyses to identify relationships with life-history (parental care, extent of polygamy, chick development, body size, average brood size) and ecological traits (migratory status, breeding latitude, foraging guild, wintering habitat type). The signiﬁcant predictors of population trend were migratory status, average brood size, type of chick development (altricial, semiprecocial, precocial), and extent of male polygamy (0%, ¼ &lt;20%, &gt;20%). Long-distance Palaearctic migrants and African non-migratory species on average suffered the greatest magnitude of decline, intra-African migrants showed population increase. There was a negative relationship between population trend and average brood size with an increase in brood size resulting in negative trends. Altricial species and species with some extent of polygamy (¼&lt;20%) had the greatest population increase. Our results provide evidence that these recent population trends were nonrandom with respect to life-history traits.","container-title":"Global Ecology and Conservation","language":"en","page":"12","source":"Zotero","title":"Identifying ecological and life-history drivers of population dynamics of wetland birds in South Africa","author":[{"family":"Barshep","given":"Yahkat"}],"issued":{"date-parts":[["2017"]]}},"label":"page"},{"id":109,"uris":["http://zotero.org/users/7587894/items/K7RJ5U9X"],"uri":["http://zotero.org/users/7587894/items/K7RJ5U9X"],"itemData":{"id":109,"type":"article-journal","abstract":"Estimating population abundances and patterns of change over time are important in both ecology and conservation. Trend assessment typically entails fitting a regression to a time series of abundances to estimate population trajectory. However, changes in abundance estimates from year-to-year across time are due to both true variation in population size (process variation) and variation due to imperfect sampling and model fit. State-space models are a relatively new method that can be used to partition the error components and quantify trends based only on process variation. We compare a state-space modelling approach with a more traditional linear regression approach to assess trends in uncorrected raw counts and detection-corrected abundance estimates of forest birds at Hakalau Forest National Wildlife Refuge, Hawai‘i. Most species demonstrated similar trends using either method. In general, evidence for trends using state-space models was less strong than for linear regression, as measured by estimates of precision. However, while the state-space models may sacrifice precision, the expectation is that these estimates provide a better representation of the real world biological processes of interest because they are partitioning process variation (environmental and demographic variation) and observation variation (sampling and model variation). The state-space approach also provides annual estimates of abundance which can be used by managers to set conservation strategies, and can be linked to factors that vary by year, such as climate, to better understand processes that drive population trends.","container-title":"Bird Conservation International","DOI":"10.1017/S0959270915000088","ISSN":"0959-2709, 1474-0001","issue":"2","language":"en","note":"publisher: Cambridge University Press","page":"225-242","source":"Cambridge University Press","title":"Evaluating abundance and trends in a Hawaiian avian community using state-space analysis","volume":"26","author":[{"family":"Camp","given":"Richard J."},{"family":"Brinck","given":"Kevin W."},{"family":"Gorresen","given":"P. Marcos"},{"family":"Paxton","given":"Eben H."}],"issued":{"date-parts":[["2016",6]]}},"label":"page"},{"id":107,"uris":["http://zotero.org/users/7587894/items/T6Y2T8M7"],"uri":["http://zotero.org/users/7587894/items/T6Y2T8M7"],"itemData":{"id":107,"type":"article-journal","abstract":"Abstract: Estimating the abundance of migratory species is difficult because sources of variability differ substantially among species and populations. Recently developed state-space models address this variability issue by directly modeling both environmental and measurement error, although their efficacy in detecting declines is relatively untested for empirical data. We applied state-space modeling, generalized least squares (with autoregression error structure), and standard linear regression to data on abundance of wetland birds (shorebirds and terns) at Moreton Bay in southeast Queensland, Australia. There are internationally significant numbers of 8 species of waterbirds in the bay, and it is a major terminus of the large East Asian-Australasian Flyway. In our analyses, we considered 22 migrant and 8 resident species. State-space models identified abundances of 7 species of migrants as significantly declining and abundance of one species as significantly increasing. Declines in migrant abundance over 15 years were 43–79%. Generalized least squares with an autoregressive error structure showed abundance changes in 11 species, and standard linear regression showed abundance changes in 15 species. The higher power of the regression models meant they detected more declines, but they also were associated with a higher rate of false detections. If the declines in Moreton Bay are consistent with trends from other sites across the flyway as a whole, then a large number of species are in significant decline.","container-title":"Conservation Biology","DOI":"10.1111/j.1523-1739.2011.01670.x","ISSN":"1523-1739","issue":"4","language":"en","note":"_eprint: https://onlinelibrary.wiley.com/doi/pdf/10.1111/j.1523-1739.2011.01670.x","page":"758-766","source":"Wiley Online Library","title":"Analyzing Variability and the Rate of Decline of Migratory Shorebirds in Moreton Bay, Australia","volume":"25","author":[{"family":"Wilson","given":"Howard B."},{"family":"Kendall","given":"Bruce E."},{"family":"Fuller","given":"Richard A."},{"family":"Milton","given":"David A."},{"family":"Possingham","given":"Hugh P."}],"issued":{"date-parts":[["2011"]]}},"label":"page"}],"schema":"https://github.com/citation-style-language/schema/raw/master/csl-citation.json"} </w:instrText>
      </w:r>
      <w:r w:rsidR="00C01CC5">
        <w:rPr>
          <w:sz w:val="24"/>
          <w:szCs w:val="24"/>
        </w:rPr>
        <w:fldChar w:fldCharType="separate"/>
      </w:r>
      <w:r w:rsidR="00C01CC5" w:rsidRPr="00C01CC5">
        <w:rPr>
          <w:rFonts w:ascii="Calibri" w:hAnsi="Calibri" w:cs="Calibri"/>
          <w:sz w:val="24"/>
        </w:rPr>
        <w:t>(Barshep, 2017; Camp et al., 2016; Wilson et al., 2011)</w:t>
      </w:r>
      <w:r w:rsidR="00C01CC5">
        <w:rPr>
          <w:sz w:val="24"/>
          <w:szCs w:val="24"/>
        </w:rPr>
        <w:fldChar w:fldCharType="end"/>
      </w:r>
      <w:r w:rsidR="00C01CC5">
        <w:rPr>
          <w:sz w:val="24"/>
          <w:szCs w:val="24"/>
        </w:rPr>
        <w:t>.</w:t>
      </w:r>
      <w:r w:rsidR="00E76773">
        <w:rPr>
          <w:sz w:val="24"/>
          <w:szCs w:val="24"/>
        </w:rPr>
        <w:t xml:space="preserve"> </w:t>
      </w:r>
      <w:proofErr w:type="spellStart"/>
      <w:r w:rsidR="00525D26">
        <w:rPr>
          <w:sz w:val="24"/>
          <w:szCs w:val="24"/>
        </w:rPr>
        <w:t>Barshep</w:t>
      </w:r>
      <w:proofErr w:type="spellEnd"/>
      <w:r w:rsidR="00525D26">
        <w:rPr>
          <w:sz w:val="24"/>
          <w:szCs w:val="24"/>
        </w:rPr>
        <w:t xml:space="preserve"> (2017) uses SSMs on data contained in the CWAC dataset. </w:t>
      </w:r>
      <w:r w:rsidR="00E76773">
        <w:rPr>
          <w:sz w:val="24"/>
          <w:szCs w:val="24"/>
        </w:rPr>
        <w:t>The aim of the study was to model population changes of 29 migrant species and 25 non-migrant species then identify which life-history traits was most responsible for these fluctuations. Two different SSMs were used.</w:t>
      </w:r>
      <w:r w:rsidR="00BA2760">
        <w:rPr>
          <w:sz w:val="24"/>
          <w:szCs w:val="24"/>
        </w:rPr>
        <w:t xml:space="preserve"> Both were logarithmic models.</w:t>
      </w:r>
      <w:r w:rsidR="00E76773">
        <w:rPr>
          <w:sz w:val="24"/>
          <w:szCs w:val="24"/>
        </w:rPr>
        <w:t xml:space="preserve"> </w:t>
      </w:r>
      <w:r w:rsidR="00BA2760">
        <w:rPr>
          <w:sz w:val="24"/>
          <w:szCs w:val="24"/>
        </w:rPr>
        <w:t>Model one, for resident, “</w:t>
      </w:r>
      <w:r w:rsidR="00BA2760" w:rsidRPr="00BA2760">
        <w:rPr>
          <w:sz w:val="24"/>
          <w:szCs w:val="24"/>
        </w:rPr>
        <w:t>sedentary residents with limited or no seasonal movement between sites</w:t>
      </w:r>
      <w:r w:rsidR="00BA2760">
        <w:rPr>
          <w:sz w:val="24"/>
          <w:szCs w:val="24"/>
        </w:rPr>
        <w:t>”. Model 2, for migrants, “</w:t>
      </w:r>
      <w:r w:rsidR="00BA2760" w:rsidRPr="00BA2760">
        <w:rPr>
          <w:sz w:val="24"/>
          <w:szCs w:val="24"/>
        </w:rPr>
        <w:t>Palaearctic migrants and intra-African migrants</w:t>
      </w:r>
      <w:r w:rsidR="00BA2760">
        <w:rPr>
          <w:sz w:val="24"/>
          <w:szCs w:val="24"/>
        </w:rPr>
        <w:t>”.</w:t>
      </w:r>
    </w:p>
    <w:p w14:paraId="5C047641" w14:textId="61C33C05" w:rsidR="00BA2760" w:rsidRDefault="00BA2760">
      <w:pPr>
        <w:rPr>
          <w:sz w:val="24"/>
          <w:szCs w:val="24"/>
        </w:rPr>
      </w:pPr>
      <w:r>
        <w:rPr>
          <w:sz w:val="24"/>
          <w:szCs w:val="24"/>
        </w:rPr>
        <w:t>Model 1 is a univariate model that has summer/winter as a covariate</w:t>
      </w:r>
      <w:r w:rsidR="00E82554">
        <w:rPr>
          <w:sz w:val="24"/>
          <w:szCs w:val="24"/>
        </w:rPr>
        <w:t>.</w:t>
      </w:r>
      <w:r>
        <w:rPr>
          <w:sz w:val="24"/>
          <w:szCs w:val="24"/>
        </w:rPr>
        <w:t xml:space="preserve"> </w:t>
      </w:r>
      <w:r w:rsidR="00E82554">
        <w:rPr>
          <w:sz w:val="24"/>
          <w:szCs w:val="24"/>
        </w:rPr>
        <w:t>The observation process is modelled as followed</w:t>
      </w:r>
      <w:r>
        <w:rPr>
          <w:sz w:val="24"/>
          <w:szCs w:val="24"/>
        </w:rPr>
        <w:t>:</w:t>
      </w:r>
    </w:p>
    <w:p w14:paraId="14CF3F18" w14:textId="0A886BDF" w:rsidR="00BA2760" w:rsidRDefault="00E82554" w:rsidP="00E82554">
      <w:pPr>
        <w:jc w:val="center"/>
        <w:rPr>
          <w:sz w:val="24"/>
          <w:szCs w:val="24"/>
        </w:rPr>
      </w:pPr>
      <w:r>
        <w:rPr>
          <w:noProof/>
        </w:rPr>
        <w:drawing>
          <wp:inline distT="0" distB="0" distL="0" distR="0" wp14:anchorId="036AEBB7" wp14:editId="711431B9">
            <wp:extent cx="24098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209550"/>
                    </a:xfrm>
                    <a:prstGeom prst="rect">
                      <a:avLst/>
                    </a:prstGeom>
                    <a:noFill/>
                    <a:ln>
                      <a:noFill/>
                    </a:ln>
                  </pic:spPr>
                </pic:pic>
              </a:graphicData>
            </a:graphic>
          </wp:inline>
        </w:drawing>
      </w:r>
      <w:r>
        <w:rPr>
          <w:sz w:val="24"/>
          <w:szCs w:val="24"/>
        </w:rPr>
        <w:t xml:space="preserve"> (6)</w:t>
      </w:r>
    </w:p>
    <w:p w14:paraId="7AD97729" w14:textId="1ACB995A" w:rsidR="00E82554" w:rsidRPr="00E82554" w:rsidRDefault="00E82554" w:rsidP="00E82554">
      <w:pPr>
        <w:rPr>
          <w:sz w:val="24"/>
          <w:szCs w:val="24"/>
        </w:rPr>
      </w:pPr>
      <w:r>
        <w:rPr>
          <w:sz w:val="24"/>
          <w:szCs w:val="24"/>
        </w:rPr>
        <w:t>Where ln(</w:t>
      </w:r>
      <w:proofErr w:type="spellStart"/>
      <w:r>
        <w:rPr>
          <w:sz w:val="24"/>
          <w:szCs w:val="24"/>
        </w:rPr>
        <w:t>y</w:t>
      </w:r>
      <w:r>
        <w:rPr>
          <w:sz w:val="24"/>
          <w:szCs w:val="24"/>
          <w:vertAlign w:val="subscript"/>
        </w:rPr>
        <w:t>t</w:t>
      </w:r>
      <w:proofErr w:type="spellEnd"/>
      <w:r>
        <w:rPr>
          <w:sz w:val="24"/>
          <w:szCs w:val="24"/>
        </w:rPr>
        <w:t xml:space="preserve">) is the logarithm of the count, </w:t>
      </w:r>
      <w:proofErr w:type="spellStart"/>
      <w:r>
        <w:rPr>
          <w:sz w:val="24"/>
          <w:szCs w:val="24"/>
        </w:rPr>
        <w:t>mu_t</w:t>
      </w:r>
      <w:proofErr w:type="spellEnd"/>
      <w:r>
        <w:rPr>
          <w:sz w:val="24"/>
          <w:szCs w:val="24"/>
        </w:rPr>
        <w:t xml:space="preserve"> is the true population, </w:t>
      </w:r>
      <w:proofErr w:type="spellStart"/>
      <w:r>
        <w:rPr>
          <w:sz w:val="24"/>
          <w:szCs w:val="24"/>
        </w:rPr>
        <w:t>gamma_t</w:t>
      </w:r>
      <w:proofErr w:type="spellEnd"/>
      <w:r>
        <w:rPr>
          <w:sz w:val="24"/>
          <w:szCs w:val="24"/>
        </w:rPr>
        <w:t xml:space="preserve"> is the summer/winter covariate and </w:t>
      </w:r>
      <w:proofErr w:type="spellStart"/>
      <w:r>
        <w:rPr>
          <w:sz w:val="24"/>
          <w:szCs w:val="24"/>
        </w:rPr>
        <w:t>alpha_t</w:t>
      </w:r>
      <w:proofErr w:type="spellEnd"/>
      <w:r>
        <w:rPr>
          <w:sz w:val="24"/>
          <w:szCs w:val="24"/>
        </w:rPr>
        <w:t xml:space="preserve"> is the observation error.</w:t>
      </w:r>
    </w:p>
    <w:p w14:paraId="6F2207F5" w14:textId="2416D4F9" w:rsidR="00BA2760" w:rsidRDefault="00E82554">
      <w:pPr>
        <w:rPr>
          <w:sz w:val="24"/>
          <w:szCs w:val="24"/>
        </w:rPr>
      </w:pPr>
      <w:r>
        <w:rPr>
          <w:sz w:val="24"/>
          <w:szCs w:val="24"/>
        </w:rPr>
        <w:t xml:space="preserve">The </w:t>
      </w:r>
      <w:r w:rsidR="00142005">
        <w:rPr>
          <w:sz w:val="24"/>
          <w:szCs w:val="24"/>
        </w:rPr>
        <w:t>state process was modelled as a linear trend model as the resident species tend to remain in the same place all year round. The state process is represented as follows:</w:t>
      </w:r>
    </w:p>
    <w:p w14:paraId="1AF5101A" w14:textId="7E22565D" w:rsidR="00142005" w:rsidRDefault="00064D7C" w:rsidP="00064D7C">
      <w:pPr>
        <w:jc w:val="center"/>
        <w:rPr>
          <w:sz w:val="24"/>
          <w:szCs w:val="24"/>
        </w:rPr>
      </w:pPr>
      <w:proofErr w:type="gramStart"/>
      <w:r>
        <w:rPr>
          <w:sz w:val="24"/>
          <w:szCs w:val="24"/>
        </w:rPr>
        <w:t>l</w:t>
      </w:r>
      <w:r w:rsidRPr="00064D7C">
        <w:rPr>
          <w:sz w:val="24"/>
          <w:szCs w:val="24"/>
        </w:rPr>
        <w:t>n</w:t>
      </w:r>
      <w:r>
        <w:rPr>
          <w:sz w:val="24"/>
          <w:szCs w:val="24"/>
        </w:rPr>
        <w:t>(</w:t>
      </w:r>
      <w:proofErr w:type="gramEnd"/>
      <w:r w:rsidRPr="00064D7C">
        <w:rPr>
          <w:sz w:val="24"/>
          <w:szCs w:val="24"/>
        </w:rPr>
        <w:t>relative population size at time t</w:t>
      </w:r>
      <w:r>
        <w:rPr>
          <w:sz w:val="24"/>
          <w:szCs w:val="24"/>
        </w:rPr>
        <w:t xml:space="preserve">): </w:t>
      </w:r>
      <w:r>
        <w:rPr>
          <w:noProof/>
        </w:rPr>
        <w:t xml:space="preserve"> </w:t>
      </w:r>
      <w:r>
        <w:rPr>
          <w:noProof/>
        </w:rPr>
        <w:drawing>
          <wp:inline distT="0" distB="0" distL="0" distR="0" wp14:anchorId="3EA7060F" wp14:editId="6E531FBA">
            <wp:extent cx="256222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209550"/>
                    </a:xfrm>
                    <a:prstGeom prst="rect">
                      <a:avLst/>
                    </a:prstGeom>
                    <a:noFill/>
                    <a:ln>
                      <a:noFill/>
                    </a:ln>
                  </pic:spPr>
                </pic:pic>
              </a:graphicData>
            </a:graphic>
          </wp:inline>
        </w:drawing>
      </w:r>
      <w:r>
        <w:rPr>
          <w:noProof/>
        </w:rPr>
        <w:t xml:space="preserve"> (7)</w:t>
      </w:r>
    </w:p>
    <w:p w14:paraId="0F46EBB8" w14:textId="29275D53" w:rsidR="00064D7C" w:rsidRDefault="00064D7C">
      <w:pPr>
        <w:rPr>
          <w:sz w:val="24"/>
          <w:szCs w:val="24"/>
        </w:rPr>
      </w:pPr>
      <w:r>
        <w:rPr>
          <w:sz w:val="24"/>
          <w:szCs w:val="24"/>
        </w:rPr>
        <w:lastRenderedPageBreak/>
        <w:t xml:space="preserve">where </w:t>
      </w:r>
      <w:proofErr w:type="spellStart"/>
      <w:r>
        <w:rPr>
          <w:sz w:val="24"/>
          <w:szCs w:val="24"/>
        </w:rPr>
        <w:t>Beta_t</w:t>
      </w:r>
      <w:proofErr w:type="spellEnd"/>
      <w:r>
        <w:rPr>
          <w:sz w:val="24"/>
          <w:szCs w:val="24"/>
        </w:rPr>
        <w:t xml:space="preserve"> is the rate of change of the population over time. </w:t>
      </w:r>
      <w:proofErr w:type="spellStart"/>
      <w:r>
        <w:rPr>
          <w:sz w:val="24"/>
          <w:szCs w:val="24"/>
        </w:rPr>
        <w:t>Gamma_t</w:t>
      </w:r>
      <w:proofErr w:type="spellEnd"/>
      <w:r>
        <w:rPr>
          <w:sz w:val="24"/>
          <w:szCs w:val="24"/>
        </w:rPr>
        <w:t xml:space="preserve"> and </w:t>
      </w:r>
      <w:proofErr w:type="spellStart"/>
      <w:r>
        <w:rPr>
          <w:sz w:val="24"/>
          <w:szCs w:val="24"/>
        </w:rPr>
        <w:t>Beta_t</w:t>
      </w:r>
      <w:proofErr w:type="spellEnd"/>
      <w:r>
        <w:rPr>
          <w:sz w:val="24"/>
          <w:szCs w:val="24"/>
        </w:rPr>
        <w:t xml:space="preserve"> </w:t>
      </w:r>
      <w:r w:rsidR="00525D26">
        <w:rPr>
          <w:sz w:val="24"/>
          <w:szCs w:val="24"/>
        </w:rPr>
        <w:t>is</w:t>
      </w:r>
      <w:r>
        <w:rPr>
          <w:sz w:val="24"/>
          <w:szCs w:val="24"/>
        </w:rPr>
        <w:t xml:space="preserve"> modelled as follows:</w:t>
      </w:r>
    </w:p>
    <w:p w14:paraId="002B31C3" w14:textId="0910CC68" w:rsidR="00064D7C" w:rsidRDefault="00064D7C" w:rsidP="00064D7C">
      <w:pPr>
        <w:jc w:val="center"/>
        <w:rPr>
          <w:sz w:val="24"/>
          <w:szCs w:val="24"/>
        </w:rPr>
      </w:pPr>
      <w:proofErr w:type="gramStart"/>
      <w:r>
        <w:rPr>
          <w:sz w:val="24"/>
          <w:szCs w:val="24"/>
        </w:rPr>
        <w:t>ln(</w:t>
      </w:r>
      <w:proofErr w:type="gramEnd"/>
      <w:r>
        <w:rPr>
          <w:sz w:val="24"/>
          <w:szCs w:val="24"/>
        </w:rPr>
        <w:t xml:space="preserve">population change): </w:t>
      </w:r>
      <w:r>
        <w:rPr>
          <w:noProof/>
        </w:rPr>
        <w:drawing>
          <wp:inline distT="0" distB="0" distL="0" distR="0" wp14:anchorId="77697180" wp14:editId="43CDC023">
            <wp:extent cx="193357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3575" cy="209550"/>
                    </a:xfrm>
                    <a:prstGeom prst="rect">
                      <a:avLst/>
                    </a:prstGeom>
                    <a:noFill/>
                    <a:ln>
                      <a:noFill/>
                    </a:ln>
                  </pic:spPr>
                </pic:pic>
              </a:graphicData>
            </a:graphic>
          </wp:inline>
        </w:drawing>
      </w:r>
      <w:r>
        <w:rPr>
          <w:sz w:val="24"/>
          <w:szCs w:val="24"/>
        </w:rPr>
        <w:t xml:space="preserve"> (8)</w:t>
      </w:r>
    </w:p>
    <w:p w14:paraId="647E66FA" w14:textId="77C3FFA3" w:rsidR="00064D7C" w:rsidRDefault="00064D7C" w:rsidP="00064D7C">
      <w:pPr>
        <w:jc w:val="center"/>
        <w:rPr>
          <w:sz w:val="24"/>
          <w:szCs w:val="24"/>
        </w:rPr>
      </w:pPr>
      <w:proofErr w:type="gramStart"/>
      <w:r>
        <w:rPr>
          <w:sz w:val="24"/>
          <w:szCs w:val="24"/>
        </w:rPr>
        <w:t>ln(</w:t>
      </w:r>
      <w:proofErr w:type="gramEnd"/>
      <w:r>
        <w:rPr>
          <w:sz w:val="24"/>
          <w:szCs w:val="24"/>
        </w:rPr>
        <w:t xml:space="preserve">seasonal effect): </w:t>
      </w:r>
      <w:r w:rsidR="00376E08">
        <w:rPr>
          <w:noProof/>
        </w:rPr>
        <w:drawing>
          <wp:inline distT="0" distB="0" distL="0" distR="0" wp14:anchorId="6578C48F" wp14:editId="79FDCABB">
            <wp:extent cx="21145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4550" cy="228600"/>
                    </a:xfrm>
                    <a:prstGeom prst="rect">
                      <a:avLst/>
                    </a:prstGeom>
                    <a:noFill/>
                    <a:ln>
                      <a:noFill/>
                    </a:ln>
                  </pic:spPr>
                </pic:pic>
              </a:graphicData>
            </a:graphic>
          </wp:inline>
        </w:drawing>
      </w:r>
      <w:r w:rsidR="00376E08">
        <w:rPr>
          <w:sz w:val="24"/>
          <w:szCs w:val="24"/>
        </w:rPr>
        <w:t xml:space="preserve"> (9)</w:t>
      </w:r>
    </w:p>
    <w:p w14:paraId="35330567" w14:textId="37F51E6B" w:rsidR="00376E08" w:rsidRDefault="00376E08" w:rsidP="00376E08">
      <w:pPr>
        <w:rPr>
          <w:sz w:val="24"/>
          <w:szCs w:val="24"/>
        </w:rPr>
      </w:pPr>
      <w:r>
        <w:rPr>
          <w:sz w:val="24"/>
          <w:szCs w:val="24"/>
        </w:rPr>
        <w:t xml:space="preserve">The variables </w:t>
      </w:r>
      <w:proofErr w:type="spellStart"/>
      <w:r>
        <w:rPr>
          <w:sz w:val="24"/>
          <w:szCs w:val="24"/>
        </w:rPr>
        <w:t>alpha_t</w:t>
      </w:r>
      <w:proofErr w:type="spellEnd"/>
      <w:r>
        <w:rPr>
          <w:sz w:val="24"/>
          <w:szCs w:val="24"/>
        </w:rPr>
        <w:t xml:space="preserve">, </w:t>
      </w:r>
      <w:proofErr w:type="spellStart"/>
      <w:r>
        <w:rPr>
          <w:sz w:val="24"/>
          <w:szCs w:val="24"/>
        </w:rPr>
        <w:t>w_t</w:t>
      </w:r>
      <w:proofErr w:type="spellEnd"/>
      <w:r>
        <w:rPr>
          <w:sz w:val="24"/>
          <w:szCs w:val="24"/>
        </w:rPr>
        <w:t xml:space="preserve">, </w:t>
      </w:r>
      <w:proofErr w:type="spellStart"/>
      <w:r>
        <w:rPr>
          <w:sz w:val="24"/>
          <w:szCs w:val="24"/>
        </w:rPr>
        <w:t>epsilon_t</w:t>
      </w:r>
      <w:proofErr w:type="spellEnd"/>
      <w:r>
        <w:rPr>
          <w:sz w:val="24"/>
          <w:szCs w:val="24"/>
        </w:rPr>
        <w:t xml:space="preserve"> and </w:t>
      </w:r>
      <w:proofErr w:type="spellStart"/>
      <w:r>
        <w:rPr>
          <w:sz w:val="24"/>
          <w:szCs w:val="24"/>
        </w:rPr>
        <w:t>zeta_t</w:t>
      </w:r>
      <w:proofErr w:type="spellEnd"/>
      <w:r>
        <w:rPr>
          <w:sz w:val="24"/>
          <w:szCs w:val="24"/>
        </w:rPr>
        <w:t xml:space="preserve"> </w:t>
      </w:r>
      <w:proofErr w:type="gramStart"/>
      <w:r>
        <w:rPr>
          <w:sz w:val="24"/>
          <w:szCs w:val="24"/>
        </w:rPr>
        <w:t>are</w:t>
      </w:r>
      <w:proofErr w:type="gramEnd"/>
      <w:r>
        <w:rPr>
          <w:sz w:val="24"/>
          <w:szCs w:val="24"/>
        </w:rPr>
        <w:t xml:space="preserve"> all serially independent. This concludes model one that is applied to resident species. See </w:t>
      </w:r>
      <w:r w:rsidRPr="00376E08">
        <w:rPr>
          <w:sz w:val="24"/>
          <w:szCs w:val="24"/>
          <w:highlight w:val="yellow"/>
        </w:rPr>
        <w:t>figure 2</w:t>
      </w:r>
      <w:r>
        <w:rPr>
          <w:sz w:val="24"/>
          <w:szCs w:val="24"/>
        </w:rPr>
        <w:t xml:space="preserve"> for a visual illustration of model 1.</w:t>
      </w:r>
    </w:p>
    <w:p w14:paraId="5BBEDAD3" w14:textId="3AA90F74" w:rsidR="00975397" w:rsidRDefault="00376E08" w:rsidP="00376E08">
      <w:pPr>
        <w:rPr>
          <w:sz w:val="24"/>
          <w:szCs w:val="24"/>
        </w:rPr>
      </w:pPr>
      <w:r>
        <w:rPr>
          <w:sz w:val="24"/>
          <w:szCs w:val="24"/>
        </w:rPr>
        <w:t xml:space="preserve">Model 2 </w:t>
      </w:r>
      <w:r w:rsidR="00525D26">
        <w:rPr>
          <w:sz w:val="24"/>
          <w:szCs w:val="24"/>
        </w:rPr>
        <w:t>is applied to migrant species and considers their migratory movement.</w:t>
      </w:r>
      <w:r w:rsidR="00975397">
        <w:rPr>
          <w:sz w:val="24"/>
          <w:szCs w:val="24"/>
        </w:rPr>
        <w:t xml:space="preserve"> The migrant species in South African wetlands tend to breed in the Northern Hemisphere (during the southern winter) then migrate south for the southern summer. The young species tend to remain in the south during the subsequent southern winter period. Model 2 was thus formulated as a bivariate time series model with the summer population in the state process as the </w:t>
      </w:r>
      <w:proofErr w:type="gramStart"/>
      <w:r w:rsidR="00975397">
        <w:rPr>
          <w:sz w:val="24"/>
          <w:szCs w:val="24"/>
        </w:rPr>
        <w:t>main focus</w:t>
      </w:r>
      <w:proofErr w:type="gramEnd"/>
      <w:r w:rsidR="00975397">
        <w:rPr>
          <w:sz w:val="24"/>
          <w:szCs w:val="24"/>
        </w:rPr>
        <w:t xml:space="preserve">. The proportion of species that stay over for the subsequent southern winter was modelled as the second covariate. </w:t>
      </w:r>
      <w:r w:rsidR="00975397" w:rsidRPr="00975397">
        <w:rPr>
          <w:sz w:val="24"/>
          <w:szCs w:val="24"/>
          <w:highlight w:val="yellow"/>
        </w:rPr>
        <w:t>Figure 3</w:t>
      </w:r>
      <w:r w:rsidR="00975397">
        <w:rPr>
          <w:sz w:val="24"/>
          <w:szCs w:val="24"/>
        </w:rPr>
        <w:t xml:space="preserve"> shows a visual description of this model. The mathematical representation of model 2 is as follows:</w:t>
      </w:r>
    </w:p>
    <w:p w14:paraId="02C2AB76" w14:textId="771212A7" w:rsidR="00975397" w:rsidRPr="006F3FD7" w:rsidRDefault="00975397" w:rsidP="00376E08">
      <w:pPr>
        <w:rPr>
          <w:i/>
          <w:iCs/>
          <w:sz w:val="24"/>
          <w:szCs w:val="24"/>
        </w:rPr>
      </w:pPr>
      <w:r w:rsidRPr="006F3FD7">
        <w:rPr>
          <w:i/>
          <w:iCs/>
          <w:sz w:val="24"/>
          <w:szCs w:val="24"/>
        </w:rPr>
        <w:t>Observation process</w:t>
      </w:r>
    </w:p>
    <w:p w14:paraId="0B627899" w14:textId="0C1BDB5A" w:rsidR="00975397" w:rsidRDefault="00975397" w:rsidP="00975397">
      <w:pPr>
        <w:jc w:val="center"/>
        <w:rPr>
          <w:sz w:val="24"/>
          <w:szCs w:val="24"/>
        </w:rPr>
      </w:pPr>
      <w:proofErr w:type="gramStart"/>
      <w:r>
        <w:rPr>
          <w:sz w:val="24"/>
          <w:szCs w:val="24"/>
        </w:rPr>
        <w:t>ln(</w:t>
      </w:r>
      <w:proofErr w:type="gramEnd"/>
      <w:r>
        <w:rPr>
          <w:sz w:val="24"/>
          <w:szCs w:val="24"/>
        </w:rPr>
        <w:t xml:space="preserve">summer count): </w:t>
      </w:r>
      <w:r w:rsidR="006F3FD7">
        <w:rPr>
          <w:noProof/>
        </w:rPr>
        <w:drawing>
          <wp:inline distT="0" distB="0" distL="0" distR="0" wp14:anchorId="510915B5" wp14:editId="08C790DF">
            <wp:extent cx="18002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209550"/>
                    </a:xfrm>
                    <a:prstGeom prst="rect">
                      <a:avLst/>
                    </a:prstGeom>
                    <a:noFill/>
                    <a:ln>
                      <a:noFill/>
                    </a:ln>
                  </pic:spPr>
                </pic:pic>
              </a:graphicData>
            </a:graphic>
          </wp:inline>
        </w:drawing>
      </w:r>
      <w:r w:rsidR="006F3FD7">
        <w:rPr>
          <w:sz w:val="24"/>
          <w:szCs w:val="24"/>
        </w:rPr>
        <w:t xml:space="preserve"> (10)</w:t>
      </w:r>
    </w:p>
    <w:p w14:paraId="23BABE0D" w14:textId="1550A36B" w:rsidR="006F3FD7" w:rsidRDefault="006F3FD7" w:rsidP="00975397">
      <w:pPr>
        <w:jc w:val="center"/>
        <w:rPr>
          <w:sz w:val="24"/>
          <w:szCs w:val="24"/>
        </w:rPr>
      </w:pPr>
      <w:proofErr w:type="gramStart"/>
      <w:r>
        <w:rPr>
          <w:sz w:val="24"/>
          <w:szCs w:val="24"/>
        </w:rPr>
        <w:t>ln(</w:t>
      </w:r>
      <w:proofErr w:type="gramEnd"/>
      <w:r>
        <w:rPr>
          <w:sz w:val="24"/>
          <w:szCs w:val="24"/>
        </w:rPr>
        <w:t xml:space="preserve">winter count): </w:t>
      </w:r>
      <w:r>
        <w:rPr>
          <w:noProof/>
        </w:rPr>
        <w:drawing>
          <wp:inline distT="0" distB="0" distL="0" distR="0" wp14:anchorId="7B19BFA5" wp14:editId="4C52B1C0">
            <wp:extent cx="207645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209550"/>
                    </a:xfrm>
                    <a:prstGeom prst="rect">
                      <a:avLst/>
                    </a:prstGeom>
                    <a:noFill/>
                    <a:ln>
                      <a:noFill/>
                    </a:ln>
                  </pic:spPr>
                </pic:pic>
              </a:graphicData>
            </a:graphic>
          </wp:inline>
        </w:drawing>
      </w:r>
      <w:r>
        <w:rPr>
          <w:sz w:val="24"/>
          <w:szCs w:val="24"/>
        </w:rPr>
        <w:t xml:space="preserve"> (11)</w:t>
      </w:r>
    </w:p>
    <w:p w14:paraId="519A0C5F" w14:textId="34E6D11A" w:rsidR="006F3FD7" w:rsidRDefault="006F3FD7" w:rsidP="006F3FD7">
      <w:pPr>
        <w:rPr>
          <w:sz w:val="24"/>
          <w:szCs w:val="24"/>
        </w:rPr>
      </w:pPr>
      <w:r>
        <w:rPr>
          <w:rFonts w:cstheme="minorHAnsi"/>
          <w:sz w:val="24"/>
          <w:szCs w:val="24"/>
        </w:rPr>
        <w:t xml:space="preserve">where </w:t>
      </w:r>
      <w:proofErr w:type="spellStart"/>
      <w:r>
        <w:rPr>
          <w:rFonts w:cstheme="minorHAnsi"/>
          <w:sz w:val="24"/>
          <w:szCs w:val="24"/>
        </w:rPr>
        <w:t>λ</w:t>
      </w:r>
      <w:r>
        <w:rPr>
          <w:sz w:val="24"/>
          <w:szCs w:val="24"/>
          <w:vertAlign w:val="subscript"/>
        </w:rPr>
        <w:t>t</w:t>
      </w:r>
      <w:proofErr w:type="spellEnd"/>
      <w:r>
        <w:rPr>
          <w:sz w:val="24"/>
          <w:szCs w:val="24"/>
          <w:vertAlign w:val="subscript"/>
        </w:rPr>
        <w:t xml:space="preserve"> </w:t>
      </w:r>
      <w:r>
        <w:rPr>
          <w:sz w:val="24"/>
          <w:szCs w:val="24"/>
        </w:rPr>
        <w:t>is the proportion of migrant species that stay over from summer to winter.</w:t>
      </w:r>
    </w:p>
    <w:p w14:paraId="15F0A29F" w14:textId="1260A12B" w:rsidR="006F3FD7" w:rsidRPr="006F3FD7" w:rsidRDefault="006F3FD7" w:rsidP="006F3FD7">
      <w:pPr>
        <w:rPr>
          <w:i/>
          <w:iCs/>
          <w:sz w:val="24"/>
          <w:szCs w:val="24"/>
        </w:rPr>
      </w:pPr>
      <w:r w:rsidRPr="006F3FD7">
        <w:rPr>
          <w:i/>
          <w:iCs/>
          <w:sz w:val="24"/>
          <w:szCs w:val="24"/>
        </w:rPr>
        <w:t>State process</w:t>
      </w:r>
    </w:p>
    <w:p w14:paraId="60C96BD5" w14:textId="771E72F8" w:rsidR="00BA2760" w:rsidRDefault="001101D7" w:rsidP="006F3FD7">
      <w:pPr>
        <w:jc w:val="center"/>
        <w:rPr>
          <w:sz w:val="24"/>
          <w:szCs w:val="24"/>
        </w:rPr>
      </w:pPr>
      <w:proofErr w:type="gramStart"/>
      <w:r>
        <w:rPr>
          <w:sz w:val="24"/>
          <w:szCs w:val="24"/>
        </w:rPr>
        <w:t>l</w:t>
      </w:r>
      <w:r w:rsidR="006F3FD7">
        <w:rPr>
          <w:sz w:val="24"/>
          <w:szCs w:val="24"/>
        </w:rPr>
        <w:t>n(</w:t>
      </w:r>
      <w:proofErr w:type="gramEnd"/>
      <w:r w:rsidR="006F3FD7">
        <w:rPr>
          <w:sz w:val="24"/>
          <w:szCs w:val="24"/>
        </w:rPr>
        <w:t xml:space="preserve">summer population change): </w:t>
      </w:r>
      <w:r>
        <w:rPr>
          <w:noProof/>
        </w:rPr>
        <w:drawing>
          <wp:inline distT="0" distB="0" distL="0" distR="0" wp14:anchorId="347B84DC" wp14:editId="2194B95B">
            <wp:extent cx="24860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6025" cy="209550"/>
                    </a:xfrm>
                    <a:prstGeom prst="rect">
                      <a:avLst/>
                    </a:prstGeom>
                    <a:noFill/>
                    <a:ln>
                      <a:noFill/>
                    </a:ln>
                  </pic:spPr>
                </pic:pic>
              </a:graphicData>
            </a:graphic>
          </wp:inline>
        </w:drawing>
      </w:r>
      <w:r>
        <w:rPr>
          <w:sz w:val="24"/>
          <w:szCs w:val="24"/>
        </w:rPr>
        <w:t xml:space="preserve"> (12)</w:t>
      </w:r>
    </w:p>
    <w:p w14:paraId="79D86468" w14:textId="07944656" w:rsidR="001101D7" w:rsidRDefault="001101D7" w:rsidP="006F3FD7">
      <w:pPr>
        <w:jc w:val="center"/>
        <w:rPr>
          <w:sz w:val="24"/>
          <w:szCs w:val="24"/>
        </w:rPr>
      </w:pPr>
      <w:proofErr w:type="gramStart"/>
      <w:r>
        <w:rPr>
          <w:sz w:val="24"/>
          <w:szCs w:val="24"/>
        </w:rPr>
        <w:t>ln(</w:t>
      </w:r>
      <w:proofErr w:type="gramEnd"/>
      <w:r>
        <w:rPr>
          <w:sz w:val="24"/>
          <w:szCs w:val="24"/>
        </w:rPr>
        <w:t xml:space="preserve">population change): </w:t>
      </w:r>
      <w:r>
        <w:rPr>
          <w:noProof/>
        </w:rPr>
        <w:drawing>
          <wp:inline distT="0" distB="0" distL="0" distR="0" wp14:anchorId="72AB840C" wp14:editId="7C7E931C">
            <wp:extent cx="19812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228600"/>
                    </a:xfrm>
                    <a:prstGeom prst="rect">
                      <a:avLst/>
                    </a:prstGeom>
                    <a:noFill/>
                    <a:ln>
                      <a:noFill/>
                    </a:ln>
                  </pic:spPr>
                </pic:pic>
              </a:graphicData>
            </a:graphic>
          </wp:inline>
        </w:drawing>
      </w:r>
      <w:r>
        <w:rPr>
          <w:sz w:val="24"/>
          <w:szCs w:val="24"/>
        </w:rPr>
        <w:t xml:space="preserve"> (13)</w:t>
      </w:r>
    </w:p>
    <w:p w14:paraId="5E5B0744" w14:textId="7E0B213A" w:rsidR="001101D7" w:rsidRDefault="001101D7" w:rsidP="006F3FD7">
      <w:pPr>
        <w:jc w:val="center"/>
        <w:rPr>
          <w:sz w:val="24"/>
          <w:szCs w:val="24"/>
        </w:rPr>
      </w:pPr>
      <w:proofErr w:type="gramStart"/>
      <w:r>
        <w:rPr>
          <w:sz w:val="24"/>
          <w:szCs w:val="24"/>
        </w:rPr>
        <w:t>ln(</w:t>
      </w:r>
      <w:proofErr w:type="gramEnd"/>
      <w:r>
        <w:rPr>
          <w:sz w:val="24"/>
          <w:szCs w:val="24"/>
        </w:rPr>
        <w:t xml:space="preserve">winter to summer ratio): </w:t>
      </w:r>
      <w:r>
        <w:rPr>
          <w:noProof/>
        </w:rPr>
        <w:drawing>
          <wp:inline distT="0" distB="0" distL="0" distR="0" wp14:anchorId="697D2F54" wp14:editId="330B9F07">
            <wp:extent cx="194310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190500"/>
                    </a:xfrm>
                    <a:prstGeom prst="rect">
                      <a:avLst/>
                    </a:prstGeom>
                    <a:noFill/>
                    <a:ln>
                      <a:noFill/>
                    </a:ln>
                  </pic:spPr>
                </pic:pic>
              </a:graphicData>
            </a:graphic>
          </wp:inline>
        </w:drawing>
      </w:r>
      <w:r w:rsidR="008A4C83">
        <w:rPr>
          <w:sz w:val="24"/>
          <w:szCs w:val="24"/>
        </w:rPr>
        <w:t xml:space="preserve"> (14)</w:t>
      </w:r>
    </w:p>
    <w:p w14:paraId="4EA207C8" w14:textId="435383CA" w:rsidR="001101D7" w:rsidRDefault="001101D7" w:rsidP="001101D7">
      <w:pPr>
        <w:rPr>
          <w:sz w:val="24"/>
          <w:szCs w:val="24"/>
        </w:rPr>
      </w:pPr>
      <w:r>
        <w:rPr>
          <w:sz w:val="24"/>
          <w:szCs w:val="24"/>
        </w:rPr>
        <w:t xml:space="preserve">Here, again, </w:t>
      </w:r>
      <w:proofErr w:type="spellStart"/>
      <w:r>
        <w:rPr>
          <w:sz w:val="24"/>
          <w:szCs w:val="24"/>
        </w:rPr>
        <w:t>alpha_t</w:t>
      </w:r>
      <w:proofErr w:type="spellEnd"/>
      <w:r>
        <w:rPr>
          <w:sz w:val="24"/>
          <w:szCs w:val="24"/>
        </w:rPr>
        <w:t xml:space="preserve">, </w:t>
      </w:r>
      <w:proofErr w:type="spellStart"/>
      <w:r>
        <w:rPr>
          <w:sz w:val="24"/>
          <w:szCs w:val="24"/>
        </w:rPr>
        <w:t>e_t</w:t>
      </w:r>
      <w:proofErr w:type="spellEnd"/>
      <w:r>
        <w:rPr>
          <w:sz w:val="24"/>
          <w:szCs w:val="24"/>
        </w:rPr>
        <w:t xml:space="preserve">, </w:t>
      </w:r>
      <w:proofErr w:type="spellStart"/>
      <w:r>
        <w:rPr>
          <w:sz w:val="24"/>
          <w:szCs w:val="24"/>
        </w:rPr>
        <w:t>w_t</w:t>
      </w:r>
      <w:proofErr w:type="spellEnd"/>
      <w:r>
        <w:rPr>
          <w:sz w:val="24"/>
          <w:szCs w:val="24"/>
        </w:rPr>
        <w:t xml:space="preserve">, </w:t>
      </w:r>
      <w:proofErr w:type="spellStart"/>
      <w:r>
        <w:rPr>
          <w:sz w:val="24"/>
          <w:szCs w:val="24"/>
        </w:rPr>
        <w:t>zeta_t</w:t>
      </w:r>
      <w:proofErr w:type="spellEnd"/>
      <w:r>
        <w:rPr>
          <w:sz w:val="24"/>
          <w:szCs w:val="24"/>
        </w:rPr>
        <w:t xml:space="preserve"> and </w:t>
      </w:r>
      <w:proofErr w:type="spellStart"/>
      <w:r>
        <w:rPr>
          <w:sz w:val="24"/>
          <w:szCs w:val="24"/>
        </w:rPr>
        <w:t>epsilon_t</w:t>
      </w:r>
      <w:proofErr w:type="spellEnd"/>
      <w:r>
        <w:rPr>
          <w:sz w:val="24"/>
          <w:szCs w:val="24"/>
        </w:rPr>
        <w:t xml:space="preserve"> </w:t>
      </w:r>
      <w:proofErr w:type="gramStart"/>
      <w:r w:rsidR="000B75E9">
        <w:rPr>
          <w:sz w:val="24"/>
          <w:szCs w:val="24"/>
        </w:rPr>
        <w:t>are</w:t>
      </w:r>
      <w:proofErr w:type="gramEnd"/>
      <w:r>
        <w:rPr>
          <w:sz w:val="24"/>
          <w:szCs w:val="24"/>
        </w:rPr>
        <w:t xml:space="preserve"> all serially independent.</w:t>
      </w:r>
    </w:p>
    <w:p w14:paraId="03B09E7C" w14:textId="5BF06DE7" w:rsidR="001101D7" w:rsidRDefault="001101D7">
      <w:pPr>
        <w:rPr>
          <w:sz w:val="24"/>
          <w:szCs w:val="24"/>
        </w:rPr>
      </w:pPr>
      <w:r>
        <w:rPr>
          <w:sz w:val="24"/>
          <w:szCs w:val="24"/>
        </w:rPr>
        <w:t xml:space="preserve">These models may be highly simplified and could still explicitly account for factors such as birth rate, death rate, density dependence, etc. However, it is difficult to obtain this data and to account for environmental factors for each wetland. The SSM model is beneficial to use in this case as all the unknown </w:t>
      </w:r>
      <w:r w:rsidR="0001723C">
        <w:rPr>
          <w:sz w:val="24"/>
          <w:szCs w:val="24"/>
        </w:rPr>
        <w:t>ecological</w:t>
      </w:r>
      <w:r>
        <w:rPr>
          <w:sz w:val="24"/>
          <w:szCs w:val="24"/>
        </w:rPr>
        <w:t xml:space="preserve"> variability is captured in the error terms in the state process.</w:t>
      </w:r>
    </w:p>
    <w:p w14:paraId="505AB824" w14:textId="66FF031D" w:rsidR="00CA5D0F" w:rsidRPr="00BA0ACB" w:rsidRDefault="0001723C">
      <w:pPr>
        <w:rPr>
          <w:b/>
          <w:bCs/>
          <w:sz w:val="28"/>
          <w:szCs w:val="28"/>
        </w:rPr>
      </w:pPr>
      <w:r w:rsidRPr="00BA0ACB">
        <w:rPr>
          <w:b/>
          <w:bCs/>
          <w:sz w:val="28"/>
          <w:szCs w:val="28"/>
        </w:rPr>
        <w:t>Inf</w:t>
      </w:r>
      <w:r w:rsidR="00EA5C31" w:rsidRPr="00BA0ACB">
        <w:rPr>
          <w:b/>
          <w:bCs/>
          <w:sz w:val="28"/>
          <w:szCs w:val="28"/>
        </w:rPr>
        <w:t>erential approaches to SSM</w:t>
      </w:r>
    </w:p>
    <w:p w14:paraId="245012F2" w14:textId="259CB10C" w:rsidR="00EA5C31" w:rsidRDefault="00EA5C31">
      <w:pPr>
        <w:rPr>
          <w:sz w:val="24"/>
          <w:szCs w:val="24"/>
        </w:rPr>
      </w:pPr>
      <w:r>
        <w:rPr>
          <w:sz w:val="24"/>
          <w:szCs w:val="24"/>
        </w:rPr>
        <w:t xml:space="preserve">SSMs are flexible in that it allows for </w:t>
      </w:r>
      <w:r w:rsidR="000B75E9">
        <w:rPr>
          <w:sz w:val="24"/>
          <w:szCs w:val="24"/>
        </w:rPr>
        <w:t>many</w:t>
      </w:r>
      <w:r>
        <w:rPr>
          <w:sz w:val="24"/>
          <w:szCs w:val="24"/>
        </w:rPr>
        <w:t xml:space="preserve"> types of biological processes to be coded into the model. SSMs are also flexible in terms of how it’s fit. There </w:t>
      </w:r>
      <w:r w:rsidR="000B75E9">
        <w:rPr>
          <w:sz w:val="24"/>
          <w:szCs w:val="24"/>
        </w:rPr>
        <w:t>are</w:t>
      </w:r>
      <w:r>
        <w:rPr>
          <w:sz w:val="24"/>
          <w:szCs w:val="24"/>
        </w:rPr>
        <w:t xml:space="preserve"> 2 fundamentally different ways to fit SSMs. That is a frequentist approach or a Bayesian approach </w:t>
      </w:r>
      <w:r>
        <w:rPr>
          <w:sz w:val="24"/>
          <w:szCs w:val="24"/>
        </w:rPr>
        <w:fldChar w:fldCharType="begin"/>
      </w:r>
      <w:r>
        <w:rPr>
          <w:sz w:val="24"/>
          <w:szCs w:val="24"/>
        </w:rPr>
        <w:instrText xml:space="preserve"> ADDIN ZOTERO_ITEM CSL_CITATION {"citationID":"7FzpMN5H","properties":{"formattedCitation":"(Auger-M\\uc0\\u233{}th\\uc0\\u233{}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Pr>
          <w:sz w:val="24"/>
          <w:szCs w:val="24"/>
        </w:rPr>
        <w:fldChar w:fldCharType="separate"/>
      </w:r>
      <w:r w:rsidRPr="00EA5C31">
        <w:rPr>
          <w:rFonts w:ascii="Calibri" w:hAnsi="Calibri" w:cs="Calibri"/>
          <w:sz w:val="24"/>
          <w:szCs w:val="24"/>
        </w:rPr>
        <w:t>(Auger-Méthé et al., 2021)</w:t>
      </w:r>
      <w:r>
        <w:rPr>
          <w:sz w:val="24"/>
          <w:szCs w:val="24"/>
        </w:rPr>
        <w:fldChar w:fldCharType="end"/>
      </w:r>
      <w:r>
        <w:rPr>
          <w:sz w:val="24"/>
          <w:szCs w:val="24"/>
        </w:rPr>
        <w:t>.</w:t>
      </w:r>
    </w:p>
    <w:p w14:paraId="278218B6" w14:textId="4C6DC2A2" w:rsidR="00EA5C31" w:rsidRPr="000B75E9" w:rsidRDefault="00EA5C31">
      <w:pPr>
        <w:rPr>
          <w:b/>
          <w:bCs/>
          <w:sz w:val="24"/>
          <w:szCs w:val="24"/>
        </w:rPr>
      </w:pPr>
      <w:r w:rsidRPr="00EA5C31">
        <w:rPr>
          <w:b/>
          <w:bCs/>
          <w:sz w:val="24"/>
          <w:szCs w:val="24"/>
        </w:rPr>
        <w:lastRenderedPageBreak/>
        <w:t>Frequentist</w:t>
      </w:r>
      <w:r w:rsidR="00185E11">
        <w:rPr>
          <w:b/>
          <w:bCs/>
          <w:sz w:val="24"/>
          <w:szCs w:val="24"/>
        </w:rPr>
        <w:t xml:space="preserve"> approach</w:t>
      </w:r>
    </w:p>
    <w:p w14:paraId="7FE76C4A" w14:textId="3E1ED3B4" w:rsidR="000A3207" w:rsidRDefault="000A3207">
      <w:pPr>
        <w:rPr>
          <w:sz w:val="24"/>
          <w:szCs w:val="24"/>
        </w:rPr>
      </w:pPr>
      <w:r>
        <w:rPr>
          <w:sz w:val="24"/>
          <w:szCs w:val="24"/>
        </w:rPr>
        <w:t xml:space="preserve">The frequentist, or classical, approach is common in most statistical analysis. The frequentist approach focuses on long run averages and p-values to determine the probability of obtaining a realised outcome, or something more extreme, given the null hypothesis </w:t>
      </w:r>
      <w:r w:rsidR="001C359A">
        <w:rPr>
          <w:sz w:val="24"/>
          <w:szCs w:val="24"/>
        </w:rPr>
        <w:fldChar w:fldCharType="begin"/>
      </w:r>
      <w:r w:rsidR="001C359A">
        <w:rPr>
          <w:sz w:val="24"/>
          <w:szCs w:val="24"/>
        </w:rPr>
        <w:instrText xml:space="preserve"> ADDIN ZOTERO_ITEM CSL_CITATION {"citationID":"m8DDJeqb","properties":{"formattedCitation":"(Bolker, 2008)","plainCitation":"(Bolker, 2008)","noteIndex":0},"citationItems":[{"id":113,"uris":["http://zotero.org/users/7587894/items/7NVXQK2Z"],"uri":["http://zotero.org/users/7587894/items/7NVXQK2Z"],"itemData":{"id":113,"type":"book","abstract":"Ecological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examples","language":"en","note":"DOI: 10.1515/9781400840908\ncontainer-title: Ecological Models and Data in R","publisher":"Princeton University Press","source":"www.degruyter.com","title":"Ecological Models and Data in R","URL":"https://www.degruyter.com/document/doi/10.1515/9781400840908/html","author":[{"family":"Bolker","given":"Benjamin M."}],"accessed":{"date-parts":[["2021",10,6]]},"issued":{"date-parts":[["2008",7,1]]}}}],"schema":"https://github.com/citation-style-language/schema/raw/master/csl-citation.json"} </w:instrText>
      </w:r>
      <w:r w:rsidR="001C359A">
        <w:rPr>
          <w:sz w:val="24"/>
          <w:szCs w:val="24"/>
        </w:rPr>
        <w:fldChar w:fldCharType="separate"/>
      </w:r>
      <w:r w:rsidR="001C359A" w:rsidRPr="001C359A">
        <w:rPr>
          <w:rFonts w:ascii="Calibri" w:hAnsi="Calibri" w:cs="Calibri"/>
          <w:sz w:val="24"/>
        </w:rPr>
        <w:t>(Bolker, 2008)</w:t>
      </w:r>
      <w:r w:rsidR="001C359A">
        <w:rPr>
          <w:sz w:val="24"/>
          <w:szCs w:val="24"/>
        </w:rPr>
        <w:fldChar w:fldCharType="end"/>
      </w:r>
      <w:r w:rsidR="001C359A">
        <w:rPr>
          <w:sz w:val="24"/>
          <w:szCs w:val="24"/>
        </w:rPr>
        <w:t xml:space="preserve">. If the outcome probability is significantly small you reject the null hypothesis, otherwise you cannot reject it. According to </w:t>
      </w:r>
      <w:proofErr w:type="spellStart"/>
      <w:r w:rsidR="001C359A">
        <w:rPr>
          <w:sz w:val="24"/>
          <w:szCs w:val="24"/>
        </w:rPr>
        <w:t>Bolker</w:t>
      </w:r>
      <w:proofErr w:type="spellEnd"/>
      <w:r w:rsidR="001C359A">
        <w:rPr>
          <w:sz w:val="24"/>
          <w:szCs w:val="24"/>
        </w:rPr>
        <w:t xml:space="preserve"> (2008), “the classical framework says you can never prove that something is true, you can only fail to prove it is false.”</w:t>
      </w:r>
    </w:p>
    <w:p w14:paraId="7D774478" w14:textId="43D55BD4" w:rsidR="00B31AFC" w:rsidRDefault="001C359A">
      <w:pPr>
        <w:rPr>
          <w:sz w:val="24"/>
          <w:szCs w:val="24"/>
        </w:rPr>
      </w:pPr>
      <w:r>
        <w:rPr>
          <w:sz w:val="24"/>
          <w:szCs w:val="24"/>
        </w:rPr>
        <w:t xml:space="preserve">The frequentist approach is widely used in statistics but has a few drawbacks. Firstly, the framework relies on hypothetical probabilities of outcomes based on the experiment. The p-value is also a contentious issue as it is often misused in </w:t>
      </w:r>
      <w:r w:rsidR="00B31AFC">
        <w:rPr>
          <w:sz w:val="24"/>
          <w:szCs w:val="24"/>
        </w:rPr>
        <w:t>ecological</w:t>
      </w:r>
      <w:r>
        <w:rPr>
          <w:sz w:val="24"/>
          <w:szCs w:val="24"/>
        </w:rPr>
        <w:t xml:space="preserve"> research</w:t>
      </w:r>
      <w:r w:rsidR="00B31AFC">
        <w:rPr>
          <w:sz w:val="24"/>
          <w:szCs w:val="24"/>
        </w:rPr>
        <w:t xml:space="preserve"> </w:t>
      </w:r>
      <w:r w:rsidR="00B31AFC">
        <w:rPr>
          <w:sz w:val="24"/>
          <w:szCs w:val="24"/>
        </w:rPr>
        <w:fldChar w:fldCharType="begin"/>
      </w:r>
      <w:r w:rsidR="00B31AFC">
        <w:rPr>
          <w:sz w:val="24"/>
          <w:szCs w:val="24"/>
        </w:rPr>
        <w:instrText xml:space="preserve"> ADDIN ZOTERO_ITEM CSL_CITATION {"citationID":"1bdKRrwT","properties":{"formattedCitation":"(Yoccoz, 1991)","plainCitation":"(Yoccoz, 1991)","noteIndex":0},"citationItems":[{"id":115,"uris":["http://zotero.org/users/7587894/items/D7F33RN2"],"uri":["http://zotero.org/users/7587894/items/D7F33RN2"],"itemData":{"id":115,"type":"article-journal","container-title":"Bulletin of the Ecological Society of America","ISSN":"0012-9623","issue":"2","note":"publisher: [Wiley, Ecological Society of America]","page":"106-111","source":"JSTOR","title":"Use, Overuse, and Misuse of Significance Tests in Evolutionary Biology and Ecology","volume":"72","author":[{"family":"Yoccoz","given":"Nigel G."}],"issued":{"date-parts":[["1991"]]}}}],"schema":"https://github.com/citation-style-language/schema/raw/master/csl-citation.json"} </w:instrText>
      </w:r>
      <w:r w:rsidR="00B31AFC">
        <w:rPr>
          <w:sz w:val="24"/>
          <w:szCs w:val="24"/>
        </w:rPr>
        <w:fldChar w:fldCharType="separate"/>
      </w:r>
      <w:r w:rsidR="00B31AFC" w:rsidRPr="00B31AFC">
        <w:rPr>
          <w:rFonts w:ascii="Calibri" w:hAnsi="Calibri" w:cs="Calibri"/>
          <w:sz w:val="24"/>
        </w:rPr>
        <w:t>(Yoccoz, 1991)</w:t>
      </w:r>
      <w:r w:rsidR="00B31AFC">
        <w:rPr>
          <w:sz w:val="24"/>
          <w:szCs w:val="24"/>
        </w:rPr>
        <w:fldChar w:fldCharType="end"/>
      </w:r>
      <w:r w:rsidR="00B31AFC">
        <w:rPr>
          <w:sz w:val="24"/>
          <w:szCs w:val="24"/>
        </w:rPr>
        <w:t>.</w:t>
      </w:r>
      <w:r>
        <w:rPr>
          <w:sz w:val="24"/>
          <w:szCs w:val="24"/>
        </w:rPr>
        <w:t xml:space="preserve"> </w:t>
      </w:r>
    </w:p>
    <w:p w14:paraId="24534C85" w14:textId="5EEEA9E4" w:rsidR="00B31AFC" w:rsidRDefault="00B31AFC">
      <w:pPr>
        <w:rPr>
          <w:sz w:val="24"/>
          <w:szCs w:val="24"/>
        </w:rPr>
      </w:pPr>
      <w:r>
        <w:rPr>
          <w:sz w:val="24"/>
          <w:szCs w:val="24"/>
        </w:rPr>
        <w:t>When fitting SSMs according to the frequentist framework, we essentially perform maximum likelihood estimation</w:t>
      </w:r>
      <w:r w:rsidR="008A4C83">
        <w:rPr>
          <w:sz w:val="24"/>
          <w:szCs w:val="24"/>
        </w:rPr>
        <w:t xml:space="preserve"> on the joint likelihood of the parameters, </w:t>
      </w:r>
      <w:r w:rsidR="008A4C83">
        <w:rPr>
          <w:rFonts w:cstheme="minorHAnsi"/>
          <w:sz w:val="24"/>
          <w:szCs w:val="24"/>
        </w:rPr>
        <w:t>θ,</w:t>
      </w:r>
      <w:r w:rsidR="008A4C83">
        <w:rPr>
          <w:sz w:val="24"/>
          <w:szCs w:val="24"/>
        </w:rPr>
        <w:t xml:space="preserve"> and the states, z</w:t>
      </w:r>
      <w:r>
        <w:rPr>
          <w:sz w:val="24"/>
          <w:szCs w:val="24"/>
        </w:rPr>
        <w:t>. The mathematical structure can be illustrated as follows:</w:t>
      </w:r>
    </w:p>
    <w:p w14:paraId="3FAC8445" w14:textId="5E299F35" w:rsidR="001C359A" w:rsidRDefault="008A4C83" w:rsidP="00B31AFC">
      <w:pPr>
        <w:jc w:val="center"/>
        <w:rPr>
          <w:sz w:val="24"/>
          <w:szCs w:val="24"/>
        </w:rPr>
      </w:pPr>
      <w:r>
        <w:rPr>
          <w:noProof/>
        </w:rPr>
        <w:drawing>
          <wp:inline distT="0" distB="0" distL="0" distR="0" wp14:anchorId="71BD1B88" wp14:editId="6ACCA9DC">
            <wp:extent cx="3362325" cy="24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247650"/>
                    </a:xfrm>
                    <a:prstGeom prst="rect">
                      <a:avLst/>
                    </a:prstGeom>
                    <a:noFill/>
                    <a:ln>
                      <a:noFill/>
                    </a:ln>
                  </pic:spPr>
                </pic:pic>
              </a:graphicData>
            </a:graphic>
          </wp:inline>
        </w:drawing>
      </w:r>
      <w:r>
        <w:rPr>
          <w:sz w:val="24"/>
          <w:szCs w:val="24"/>
        </w:rPr>
        <w:t xml:space="preserve"> (15)</w:t>
      </w:r>
    </w:p>
    <w:p w14:paraId="7DCD9BE0" w14:textId="4B1B63AB" w:rsidR="008A4C83" w:rsidRDefault="008A4C83" w:rsidP="008A4C83">
      <w:pPr>
        <w:rPr>
          <w:sz w:val="24"/>
          <w:szCs w:val="24"/>
        </w:rPr>
      </w:pPr>
      <w:r>
        <w:rPr>
          <w:sz w:val="24"/>
          <w:szCs w:val="24"/>
        </w:rPr>
        <w:t xml:space="preserve">Where </w:t>
      </w:r>
      <w:proofErr w:type="spellStart"/>
      <w:r>
        <w:rPr>
          <w:rFonts w:cstheme="minorHAnsi"/>
          <w:sz w:val="24"/>
          <w:szCs w:val="24"/>
        </w:rPr>
        <w:t>θ</w:t>
      </w:r>
      <w:r>
        <w:rPr>
          <w:sz w:val="24"/>
          <w:szCs w:val="24"/>
          <w:vertAlign w:val="subscript"/>
        </w:rPr>
        <w:t>o</w:t>
      </w:r>
      <w:proofErr w:type="spellEnd"/>
      <w:r>
        <w:rPr>
          <w:sz w:val="24"/>
          <w:szCs w:val="24"/>
        </w:rPr>
        <w:t xml:space="preserve"> and </w:t>
      </w:r>
      <w:proofErr w:type="spellStart"/>
      <w:r>
        <w:rPr>
          <w:rFonts w:cstheme="minorHAnsi"/>
          <w:sz w:val="24"/>
          <w:szCs w:val="24"/>
        </w:rPr>
        <w:t>θ</w:t>
      </w:r>
      <w:r>
        <w:rPr>
          <w:sz w:val="24"/>
          <w:szCs w:val="24"/>
          <w:vertAlign w:val="subscript"/>
        </w:rPr>
        <w:t>p</w:t>
      </w:r>
      <w:proofErr w:type="spellEnd"/>
      <w:r>
        <w:rPr>
          <w:sz w:val="24"/>
          <w:szCs w:val="24"/>
        </w:rPr>
        <w:t xml:space="preserve"> represent the observation process parameters and the state process parameters respectively. And T representing the length of the time </w:t>
      </w:r>
      <w:r w:rsidR="0036118F">
        <w:rPr>
          <w:sz w:val="24"/>
          <w:szCs w:val="24"/>
        </w:rPr>
        <w:t>series. To simplify the maximum likelihood process, one would first maximise the marginal likelihood and integrate out the hidden states (z). Thus, only having to maximise the marginal likelihood with respect to the parameters (</w:t>
      </w:r>
      <w:r w:rsidR="0036118F">
        <w:rPr>
          <w:rFonts w:cstheme="minorHAnsi"/>
          <w:sz w:val="24"/>
          <w:szCs w:val="24"/>
        </w:rPr>
        <w:t>θ</w:t>
      </w:r>
      <w:r w:rsidR="0036118F">
        <w:rPr>
          <w:sz w:val="24"/>
          <w:szCs w:val="24"/>
        </w:rPr>
        <w:t>). To estimate the hidden states, one would use the predicted</w:t>
      </w:r>
      <w:r w:rsidR="0057416A">
        <w:rPr>
          <w:sz w:val="24"/>
          <w:szCs w:val="24"/>
        </w:rPr>
        <w:t xml:space="preserve"> </w:t>
      </w:r>
      <w:r w:rsidR="0036118F">
        <w:rPr>
          <w:sz w:val="24"/>
          <w:szCs w:val="24"/>
        </w:rPr>
        <w:t xml:space="preserve">parameters and calculate the conditional distribution of the </w:t>
      </w:r>
      <w:r w:rsidR="0057416A">
        <w:rPr>
          <w:sz w:val="24"/>
          <w:szCs w:val="24"/>
        </w:rPr>
        <w:t xml:space="preserve">hidden </w:t>
      </w:r>
      <w:r w:rsidR="0036118F">
        <w:rPr>
          <w:sz w:val="24"/>
          <w:szCs w:val="24"/>
        </w:rPr>
        <w:t xml:space="preserve">states given </w:t>
      </w:r>
      <w:r w:rsidR="0057416A">
        <w:rPr>
          <w:sz w:val="24"/>
          <w:szCs w:val="24"/>
        </w:rPr>
        <w:t>the observations (y) and the estimated parameters (</w:t>
      </w:r>
      <w:proofErr w:type="spellStart"/>
      <w:r w:rsidR="0057416A">
        <w:rPr>
          <w:rFonts w:cstheme="minorHAnsi"/>
          <w:sz w:val="24"/>
          <w:szCs w:val="24"/>
        </w:rPr>
        <w:t>θ</w:t>
      </w:r>
      <w:r w:rsidR="0057416A">
        <w:rPr>
          <w:sz w:val="24"/>
          <w:szCs w:val="24"/>
        </w:rPr>
        <w:t>^hat</w:t>
      </w:r>
      <w:proofErr w:type="spellEnd"/>
      <w:r w:rsidR="0057416A">
        <w:rPr>
          <w:sz w:val="24"/>
          <w:szCs w:val="24"/>
        </w:rPr>
        <w:t>).</w:t>
      </w:r>
      <w:r w:rsidR="00917F5E">
        <w:rPr>
          <w:sz w:val="24"/>
          <w:szCs w:val="24"/>
        </w:rPr>
        <w:t xml:space="preserve"> Calculating the maximum marginal likelihood with respect to the parameters is a computationally expensive problem. This is the common pitfall for SSMs in general</w:t>
      </w:r>
      <w:r w:rsidR="000B75E9">
        <w:rPr>
          <w:sz w:val="24"/>
          <w:szCs w:val="24"/>
        </w:rPr>
        <w:t>, for both the</w:t>
      </w:r>
      <w:r w:rsidR="00917F5E">
        <w:rPr>
          <w:sz w:val="24"/>
          <w:szCs w:val="24"/>
        </w:rPr>
        <w:t xml:space="preserve"> frequentist </w:t>
      </w:r>
      <w:r w:rsidR="000B75E9">
        <w:rPr>
          <w:sz w:val="24"/>
          <w:szCs w:val="24"/>
        </w:rPr>
        <w:t>and</w:t>
      </w:r>
      <w:r w:rsidR="00917F5E">
        <w:rPr>
          <w:sz w:val="24"/>
          <w:szCs w:val="24"/>
        </w:rPr>
        <w:t xml:space="preserve"> Bayesian approach.</w:t>
      </w:r>
    </w:p>
    <w:p w14:paraId="1997DB0A" w14:textId="0D5CD9E8" w:rsidR="00917F5E" w:rsidRDefault="00917F5E" w:rsidP="008A4C83">
      <w:pPr>
        <w:rPr>
          <w:sz w:val="24"/>
          <w:szCs w:val="24"/>
        </w:rPr>
      </w:pPr>
      <w:r>
        <w:rPr>
          <w:sz w:val="24"/>
          <w:szCs w:val="24"/>
        </w:rPr>
        <w:t xml:space="preserve">There are two common methods one can use to evaluate the maximum marginal likelihood. Namely the Kalman Filter and the Laplace approximation method (which approximates the maximum marginal likelihood as </w:t>
      </w:r>
      <w:r w:rsidR="00AF0F89">
        <w:rPr>
          <w:sz w:val="24"/>
          <w:szCs w:val="24"/>
        </w:rPr>
        <w:t>opposed</w:t>
      </w:r>
      <w:r>
        <w:rPr>
          <w:sz w:val="24"/>
          <w:szCs w:val="24"/>
        </w:rPr>
        <w:t xml:space="preserve"> to evaluating it).</w:t>
      </w:r>
    </w:p>
    <w:p w14:paraId="14721D08" w14:textId="77777777" w:rsidR="0057416A" w:rsidRPr="008A4C83" w:rsidRDefault="0057416A" w:rsidP="008A4C83">
      <w:pPr>
        <w:rPr>
          <w:sz w:val="24"/>
          <w:szCs w:val="24"/>
        </w:rPr>
      </w:pPr>
    </w:p>
    <w:p w14:paraId="441DA2AF" w14:textId="660257AF" w:rsidR="00AF0F89" w:rsidRPr="00120CF6" w:rsidRDefault="00185E11">
      <w:pPr>
        <w:rPr>
          <w:b/>
          <w:bCs/>
          <w:sz w:val="24"/>
          <w:szCs w:val="24"/>
        </w:rPr>
      </w:pPr>
      <w:r w:rsidRPr="00185E11">
        <w:rPr>
          <w:b/>
          <w:bCs/>
          <w:sz w:val="24"/>
          <w:szCs w:val="24"/>
        </w:rPr>
        <w:t>Bayesian approach</w:t>
      </w:r>
    </w:p>
    <w:p w14:paraId="6C2D45E3" w14:textId="27AE6DE0" w:rsidR="00B15A66" w:rsidRDefault="00B15A66" w:rsidP="00D34F8A">
      <w:pPr>
        <w:rPr>
          <w:sz w:val="24"/>
          <w:szCs w:val="24"/>
        </w:rPr>
      </w:pPr>
      <w:r>
        <w:rPr>
          <w:sz w:val="24"/>
          <w:szCs w:val="24"/>
        </w:rPr>
        <w:t>While the frequentist approach is based on hypothetical probabilities, the Bayesian approach is based on prior distributions. Where the frequentist method defines unknown model parameters as long-term averages, the Bayesian approach defines unknown model parameters as probability distributions. These distributions are based on expert knowledge.</w:t>
      </w:r>
    </w:p>
    <w:p w14:paraId="3D652AAF" w14:textId="4046311F" w:rsidR="00AF3C76" w:rsidRDefault="00B15A66" w:rsidP="00D34F8A">
      <w:pPr>
        <w:rPr>
          <w:sz w:val="24"/>
          <w:szCs w:val="24"/>
        </w:rPr>
      </w:pPr>
      <w:r>
        <w:rPr>
          <w:sz w:val="24"/>
          <w:szCs w:val="24"/>
        </w:rPr>
        <w:t xml:space="preserve">The Bayesian approach resolves the </w:t>
      </w:r>
      <w:r w:rsidR="00AF3C76">
        <w:rPr>
          <w:sz w:val="24"/>
          <w:szCs w:val="24"/>
        </w:rPr>
        <w:t>conceptual issues brought about in the frequentist approach. Instead of hypothetical probabilities, the Bayesian approach focuses on the data at hand. This way the statistician can make direct statements about the probability of hypotheses or parameter values without the use of contentious p-values</w:t>
      </w:r>
      <w:r w:rsidR="00C82165">
        <w:rPr>
          <w:sz w:val="24"/>
          <w:szCs w:val="24"/>
        </w:rPr>
        <w:t xml:space="preserve"> </w:t>
      </w:r>
      <w:r w:rsidR="00C82165">
        <w:rPr>
          <w:sz w:val="24"/>
          <w:szCs w:val="24"/>
        </w:rPr>
        <w:fldChar w:fldCharType="begin"/>
      </w:r>
      <w:r w:rsidR="00C82165">
        <w:rPr>
          <w:sz w:val="24"/>
          <w:szCs w:val="24"/>
        </w:rPr>
        <w:instrText xml:space="preserve"> ADDIN ZOTERO_ITEM CSL_CITATION {"citationID":"yPQIvCkk","properties":{"formattedCitation":"(Bolker, 2008)","plainCitation":"(Bolker, 2008)","noteIndex":0},"citationItems":[{"id":113,"uris":["http://zotero.org/users/7587894/items/7NVXQK2Z"],"uri":["http://zotero.org/users/7587894/items/7NVXQK2Z"],"itemData":{"id":113,"type":"book","abstract":"Ecological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examples","language":"en","note":"DOI: 10.1515/9781400840908\ncontainer-title: Ecological Models and Data in R","publisher":"Princeton University Press","source":"www.degruyter.com","title":"Ecological Models and Data in R","URL":"https://www.degruyter.com/document/doi/10.1515/9781400840908/html","author":[{"family":"Bolker","given":"Benjamin M."}],"accessed":{"date-parts":[["2021",10,6]]},"issued":{"date-parts":[["2008",7,1]]}}}],"schema":"https://github.com/citation-style-language/schema/raw/master/csl-citation.json"} </w:instrText>
      </w:r>
      <w:r w:rsidR="00C82165">
        <w:rPr>
          <w:sz w:val="24"/>
          <w:szCs w:val="24"/>
        </w:rPr>
        <w:fldChar w:fldCharType="separate"/>
      </w:r>
      <w:r w:rsidR="00C82165" w:rsidRPr="00C82165">
        <w:rPr>
          <w:rFonts w:ascii="Calibri" w:hAnsi="Calibri" w:cs="Calibri"/>
          <w:sz w:val="24"/>
        </w:rPr>
        <w:t>(Bolker, 2008)</w:t>
      </w:r>
      <w:r w:rsidR="00C82165">
        <w:rPr>
          <w:sz w:val="24"/>
          <w:szCs w:val="24"/>
        </w:rPr>
        <w:fldChar w:fldCharType="end"/>
      </w:r>
      <w:r w:rsidR="00AF3C76">
        <w:rPr>
          <w:sz w:val="24"/>
          <w:szCs w:val="24"/>
        </w:rPr>
        <w:t xml:space="preserve">. </w:t>
      </w:r>
    </w:p>
    <w:p w14:paraId="7877A800" w14:textId="77777777" w:rsidR="00080E44" w:rsidRDefault="00AF3C76" w:rsidP="00D34F8A">
      <w:pPr>
        <w:rPr>
          <w:sz w:val="24"/>
          <w:szCs w:val="24"/>
        </w:rPr>
      </w:pPr>
      <w:r>
        <w:rPr>
          <w:sz w:val="24"/>
          <w:szCs w:val="24"/>
        </w:rPr>
        <w:t xml:space="preserve">Bayesian approaches can also encapsulate expert knowledge in the formulation of its priors. This could be both a good thing and a bad thing. These priors affect the outcome of the </w:t>
      </w:r>
      <w:r>
        <w:rPr>
          <w:sz w:val="24"/>
          <w:szCs w:val="24"/>
        </w:rPr>
        <w:lastRenderedPageBreak/>
        <w:t xml:space="preserve">model and has been used as a criticism of the Bayesian framework </w:t>
      </w:r>
      <w:r>
        <w:rPr>
          <w:sz w:val="24"/>
          <w:szCs w:val="24"/>
        </w:rPr>
        <w:fldChar w:fldCharType="begin"/>
      </w:r>
      <w:r>
        <w:rPr>
          <w:sz w:val="24"/>
          <w:szCs w:val="24"/>
        </w:rPr>
        <w:instrText xml:space="preserve"> ADDIN ZOTERO_ITEM CSL_CITATION {"citationID":"X65DkSCW","properties":{"formattedCitation":"(Dennis, 1996)","plainCitation":"(Dennis, 1996)","noteIndex":0},"citationItems":[{"id":116,"uris":["http://zotero.org/users/7587894/items/73BINKSV"],"uri":["http://zotero.org/users/7587894/items/73BINKSV"],"itemData":{"id":116,"type":"article-journal","abstract":"Bayesian statistics involve substantial changes in the methods and philosophy of science. Before adopting Bayesian approaches, ecologists should consider carefully whether or not scientific understanding will be enhanced. Frequentist statistical methods, while imperfect, have made an unquestioned contribution to scientific progress and are a workhorse of day-to-day research. Bayesian statistics, by contrast, have a largely untested track record. The papers in this special section on Bayesian statistics exemplify the difficulties inherent in making convincing scientific arguments with Bayesian reasoning.","container-title":"Ecological Applications","DOI":"10.2307/2269594","ISSN":"1939-5582","issue":"4","language":"en","note":"_eprint: https://onlinelibrary.wiley.com/doi/pdf/10.2307/2269594","page":"1095-1103","source":"Wiley Online Library","title":"Discussion: Should Ecologists Become Bayesians?","title-short":"Discussion","volume":"6","author":[{"family":"Dennis","given":"Brian"}],"issued":{"date-parts":[["1996"]]}}}],"schema":"https://github.com/citation-style-language/schema/raw/master/csl-citation.json"} </w:instrText>
      </w:r>
      <w:r>
        <w:rPr>
          <w:sz w:val="24"/>
          <w:szCs w:val="24"/>
        </w:rPr>
        <w:fldChar w:fldCharType="separate"/>
      </w:r>
      <w:r w:rsidRPr="00AF3C76">
        <w:rPr>
          <w:rFonts w:ascii="Calibri" w:hAnsi="Calibri" w:cs="Calibri"/>
          <w:sz w:val="24"/>
        </w:rPr>
        <w:t>(Dennis, 1996)</w:t>
      </w:r>
      <w:r>
        <w:rPr>
          <w:sz w:val="24"/>
          <w:szCs w:val="24"/>
        </w:rPr>
        <w:fldChar w:fldCharType="end"/>
      </w:r>
      <w:r>
        <w:rPr>
          <w:sz w:val="24"/>
          <w:szCs w:val="24"/>
        </w:rPr>
        <w:t xml:space="preserve">. However, if the expert knowledge is sound, it </w:t>
      </w:r>
      <w:r w:rsidR="00080E44">
        <w:rPr>
          <w:sz w:val="24"/>
          <w:szCs w:val="24"/>
        </w:rPr>
        <w:t xml:space="preserve">would greatly benefit the model and will lead to favourable and more biologically sound outcomes. If incorrect, the ecologist may be adding erroneous biological or ecological beliefs into the model. Thus, producing an outcome that does not relate to reality. </w:t>
      </w:r>
    </w:p>
    <w:p w14:paraId="3AFC68E4" w14:textId="7AD9DD57" w:rsidR="00DF24E2" w:rsidRDefault="00DF24E2" w:rsidP="00D34F8A">
      <w:pPr>
        <w:rPr>
          <w:sz w:val="24"/>
          <w:szCs w:val="24"/>
        </w:rPr>
      </w:pPr>
      <w:r>
        <w:rPr>
          <w:sz w:val="24"/>
          <w:szCs w:val="24"/>
        </w:rPr>
        <w:t xml:space="preserve">Given the criticism of subjective priors </w:t>
      </w:r>
      <w:r>
        <w:rPr>
          <w:sz w:val="24"/>
          <w:szCs w:val="24"/>
        </w:rPr>
        <w:fldChar w:fldCharType="begin"/>
      </w:r>
      <w:r>
        <w:rPr>
          <w:sz w:val="24"/>
          <w:szCs w:val="24"/>
        </w:rPr>
        <w:instrText xml:space="preserve"> ADDIN ZOTERO_ITEM CSL_CITATION {"citationID":"92W2h54l","properties":{"formattedCitation":"(Lele &amp; Dennis, 2009)","plainCitation":"(Lele &amp; Dennis, 2009)","noteIndex":0},"citationItems":[{"id":118,"uris":["http://zotero.org/users/7587894/items/E9MYXKGF"],"uri":["http://zotero.org/users/7587894/items/E9MYXKGF"],"itemData":{"id":118,"type":"article-journal","container-title":"Ecological Applications","ISSN":"1051-0761","issue":"3","note":"publisher: [Wiley, Ecological Society of America]","page":"581-584","source":"JSTOR","title":"Bayesian Methods for Hierarchical Models: Are Ecologists Making a Faustian Bargain?","title-short":"Bayesian Methods for Hierarchical Models","volume":"19","author":[{"family":"Lele","given":"Subhash R."},{"family":"Dennis","given":"Brian"}],"issued":{"date-parts":[["2009"]]}}}],"schema":"https://github.com/citation-style-language/schema/raw/master/csl-citation.json"} </w:instrText>
      </w:r>
      <w:r>
        <w:rPr>
          <w:sz w:val="24"/>
          <w:szCs w:val="24"/>
        </w:rPr>
        <w:fldChar w:fldCharType="separate"/>
      </w:r>
      <w:r w:rsidRPr="00DF24E2">
        <w:rPr>
          <w:rFonts w:ascii="Calibri" w:hAnsi="Calibri" w:cs="Calibri"/>
          <w:sz w:val="24"/>
        </w:rPr>
        <w:t>(Lele &amp; Dennis, 2009)</w:t>
      </w:r>
      <w:r>
        <w:rPr>
          <w:sz w:val="24"/>
          <w:szCs w:val="24"/>
        </w:rPr>
        <w:fldChar w:fldCharType="end"/>
      </w:r>
      <w:r>
        <w:rPr>
          <w:sz w:val="24"/>
          <w:szCs w:val="24"/>
        </w:rPr>
        <w:t>, t</w:t>
      </w:r>
      <w:r w:rsidR="00080E44">
        <w:rPr>
          <w:sz w:val="24"/>
          <w:szCs w:val="24"/>
        </w:rPr>
        <w:t xml:space="preserve">he </w:t>
      </w:r>
      <w:r>
        <w:rPr>
          <w:sz w:val="24"/>
          <w:szCs w:val="24"/>
        </w:rPr>
        <w:t>least controversial way</w:t>
      </w:r>
      <w:r w:rsidR="00080E44">
        <w:rPr>
          <w:sz w:val="24"/>
          <w:szCs w:val="24"/>
        </w:rPr>
        <w:t xml:space="preserve"> for choosing priors is, therefore, to use non-informative priors as far as possible. </w:t>
      </w:r>
      <w:r>
        <w:rPr>
          <w:sz w:val="24"/>
          <w:szCs w:val="24"/>
        </w:rPr>
        <w:t xml:space="preserve">These non-informative priors refer to normal or uniform priors. </w:t>
      </w:r>
      <w:r w:rsidR="00080E44">
        <w:rPr>
          <w:sz w:val="24"/>
          <w:szCs w:val="24"/>
        </w:rPr>
        <w:t xml:space="preserve">However, it is also believed that using only non-informative priors limits the benefits </w:t>
      </w:r>
      <w:r>
        <w:rPr>
          <w:sz w:val="24"/>
          <w:szCs w:val="24"/>
        </w:rPr>
        <w:t>the Bayesian approach</w:t>
      </w:r>
      <w:r w:rsidR="00C82165">
        <w:rPr>
          <w:sz w:val="24"/>
          <w:szCs w:val="24"/>
        </w:rPr>
        <w:t xml:space="preserve"> has to offer</w:t>
      </w:r>
      <w:r w:rsidR="00080E44">
        <w:rPr>
          <w:sz w:val="24"/>
          <w:szCs w:val="24"/>
        </w:rPr>
        <w:t xml:space="preserve"> </w:t>
      </w:r>
      <w:r>
        <w:rPr>
          <w:sz w:val="24"/>
          <w:szCs w:val="24"/>
        </w:rPr>
        <w:fldChar w:fldCharType="begin"/>
      </w:r>
      <w:r>
        <w:rPr>
          <w:sz w:val="24"/>
          <w:szCs w:val="24"/>
        </w:rPr>
        <w:instrText xml:space="preserve"> ADDIN ZOTERO_ITEM CSL_CITATION {"citationID":"nPoyNoaU","properties":{"formattedCitation":"(Banner et al., 2020)","plainCitation":"(Banner et al., 2020)","noteIndex":0},"citationItems":[{"id":119,"uris":["http://zotero.org/users/7587894/items/PHIWUYV7"],"uri":["http://zotero.org/users/7587894/items/PHIWUYV7"],"itemData":{"id":119,"type":"article-journal","abstract":"Bayesian data analysis (BDA) is a powerful tool for making inference from ecological data, but its full potential has yet to be realized. Despite a generally positive trajectory in research surrounding model development and assessment, far too little attention has been given to prior specification. Default priors, a sub-class of non-informative prior distributions that are often chosen without critical thought or evaluation, are commonly used in practice. We believe the fear of being too ‘subjective’ has prevented many researchers from using any prior information in their analyses despite the fact that defending prior choice (informative or not) promotes good statistical practice. In this commentary, we provide an overview of how BDA is currently being used in a random sample of articles, discuss implications for inference if current bad practices continue, and highlight sub-fields where knowledge about the system has improved inference and promoted good statistical practices through the careful and justified use of informative priors. We hope to inspire a renewed discussion about the use of Bayesian priors in Ecology with particular attention paid to specification and justification. We also emphasize that all priors are the result of a subjective choice, and should be discussed in that way.","container-title":"Methods in Ecology and Evolution","DOI":"10.1111/2041-210X.13407","ISSN":"2041-210X","issue":"8","language":"en","note":"_eprint: https://onlinelibrary.wiley.com/doi/pdf/10.1111/2041-210X.13407","page":"882-889","source":"Wiley Online Library","title":"The use of Bayesian priors in Ecology: The good, the bad and the not great","title-short":"The use of Bayesian priors in Ecology","volume":"11","author":[{"family":"Banner","given":"Katharine M."},{"family":"Irvine","given":"Kathryn M."},{"family":"Rodhouse","given":"Thomas J."}],"issued":{"date-parts":[["2020"]]}}}],"schema":"https://github.com/citation-style-language/schema/raw/master/csl-citation.json"} </w:instrText>
      </w:r>
      <w:r>
        <w:rPr>
          <w:sz w:val="24"/>
          <w:szCs w:val="24"/>
        </w:rPr>
        <w:fldChar w:fldCharType="separate"/>
      </w:r>
      <w:r w:rsidRPr="00DF24E2">
        <w:rPr>
          <w:rFonts w:ascii="Calibri" w:hAnsi="Calibri" w:cs="Calibri"/>
          <w:sz w:val="24"/>
        </w:rPr>
        <w:t>(Banner et al., 2020)</w:t>
      </w:r>
      <w:r>
        <w:rPr>
          <w:sz w:val="24"/>
          <w:szCs w:val="24"/>
        </w:rPr>
        <w:fldChar w:fldCharType="end"/>
      </w:r>
      <w:r>
        <w:rPr>
          <w:sz w:val="24"/>
          <w:szCs w:val="24"/>
        </w:rPr>
        <w:t>.</w:t>
      </w:r>
    </w:p>
    <w:p w14:paraId="64FBAC5B" w14:textId="4A34D0E8" w:rsidR="00C82165" w:rsidRDefault="00DF24E2" w:rsidP="00D34F8A">
      <w:pPr>
        <w:rPr>
          <w:sz w:val="24"/>
          <w:szCs w:val="24"/>
        </w:rPr>
      </w:pPr>
      <w:r>
        <w:rPr>
          <w:sz w:val="24"/>
          <w:szCs w:val="24"/>
        </w:rPr>
        <w:t xml:space="preserve">Besides the use of priors being a contentious topic, the Bayesian approach still holds a vast array of benefits. </w:t>
      </w:r>
      <w:r w:rsidR="005D6FDB">
        <w:rPr>
          <w:sz w:val="24"/>
          <w:szCs w:val="24"/>
        </w:rPr>
        <w:t xml:space="preserve">Bayesian models are conceptually easier to understand when applied to hierarchical models </w:t>
      </w:r>
      <w:r w:rsidR="005D6FDB">
        <w:rPr>
          <w:sz w:val="24"/>
          <w:szCs w:val="24"/>
        </w:rPr>
        <w:fldChar w:fldCharType="begin"/>
      </w:r>
      <w:r w:rsidR="005D6FDB">
        <w:rPr>
          <w:sz w:val="24"/>
          <w:szCs w:val="24"/>
        </w:rPr>
        <w:instrText xml:space="preserve"> ADDIN ZOTERO_ITEM CSL_CITATION {"citationID":"usfg5EOa","properties":{"formattedCitation":"(K\\uc0\\u233{}ry &amp; Schaub, 2011)","plainCitation":"(Kéry &amp; Schaub, 2011)","noteIndex":0},"citationItems":[{"id":13,"uris":["http://zotero.org/users/7587894/items/DFD6XRWQ"],"uri":["http://zotero.org/users/7587894/items/DFD6XRWQ"],"itemData":{"id":13,"type":"article-journal","language":"en","page":"444","source":"Zotero","title":"Bayesian Population Analysis using WinBUGS ‐","author":[{"family":"Kéry","given":"Marc"},{"family":"Schaub","given":"Michael"}],"issued":{"date-parts":[["2011",4]]}}}],"schema":"https://github.com/citation-style-language/schema/raw/master/csl-citation.json"} </w:instrText>
      </w:r>
      <w:r w:rsidR="005D6FDB">
        <w:rPr>
          <w:sz w:val="24"/>
          <w:szCs w:val="24"/>
        </w:rPr>
        <w:fldChar w:fldCharType="separate"/>
      </w:r>
      <w:r w:rsidR="005D6FDB" w:rsidRPr="005D6FDB">
        <w:rPr>
          <w:rFonts w:ascii="Calibri" w:hAnsi="Calibri" w:cs="Calibri"/>
          <w:sz w:val="24"/>
          <w:szCs w:val="24"/>
        </w:rPr>
        <w:t>(Kéry &amp; Schaub, 2011)</w:t>
      </w:r>
      <w:r w:rsidR="005D6FDB">
        <w:rPr>
          <w:sz w:val="24"/>
          <w:szCs w:val="24"/>
        </w:rPr>
        <w:fldChar w:fldCharType="end"/>
      </w:r>
      <w:r w:rsidR="005D6FDB">
        <w:rPr>
          <w:sz w:val="24"/>
          <w:szCs w:val="24"/>
        </w:rPr>
        <w:t xml:space="preserve">. </w:t>
      </w:r>
      <w:r w:rsidR="00C82165">
        <w:rPr>
          <w:sz w:val="24"/>
          <w:szCs w:val="24"/>
        </w:rPr>
        <w:t>I</w:t>
      </w:r>
      <w:r w:rsidR="005D6FDB">
        <w:rPr>
          <w:sz w:val="24"/>
          <w:szCs w:val="24"/>
        </w:rPr>
        <w:t>n population dynamics, there is often a true population and observations based on that</w:t>
      </w:r>
      <w:r w:rsidR="00D07438">
        <w:rPr>
          <w:sz w:val="24"/>
          <w:szCs w:val="24"/>
        </w:rPr>
        <w:t xml:space="preserve"> true</w:t>
      </w:r>
      <w:r w:rsidR="005D6FDB">
        <w:rPr>
          <w:sz w:val="24"/>
          <w:szCs w:val="24"/>
        </w:rPr>
        <w:t xml:space="preserve"> population</w:t>
      </w:r>
      <w:r w:rsidR="00C82165">
        <w:rPr>
          <w:sz w:val="24"/>
          <w:szCs w:val="24"/>
        </w:rPr>
        <w:t xml:space="preserve">. These observations very seldom reflect the true population and are often prone to observation error. Given this </w:t>
      </w:r>
      <w:r w:rsidR="00D07438">
        <w:rPr>
          <w:sz w:val="24"/>
          <w:szCs w:val="24"/>
        </w:rPr>
        <w:t>hierarchical</w:t>
      </w:r>
      <w:r w:rsidR="00C82165">
        <w:rPr>
          <w:sz w:val="24"/>
          <w:szCs w:val="24"/>
        </w:rPr>
        <w:t xml:space="preserve"> structure, the Bayesian approach is a more intuitive method to use.</w:t>
      </w:r>
      <w:r w:rsidR="005D6FDB">
        <w:rPr>
          <w:sz w:val="24"/>
          <w:szCs w:val="24"/>
        </w:rPr>
        <w:t xml:space="preserve"> </w:t>
      </w:r>
    </w:p>
    <w:p w14:paraId="53FD5415" w14:textId="77777777" w:rsidR="00C82165" w:rsidRDefault="00C82165" w:rsidP="00D34F8A">
      <w:pPr>
        <w:rPr>
          <w:sz w:val="24"/>
          <w:szCs w:val="24"/>
        </w:rPr>
      </w:pPr>
      <w:r>
        <w:rPr>
          <w:sz w:val="24"/>
          <w:szCs w:val="24"/>
        </w:rPr>
        <w:t>When applying SSMs in a Bayesian context, the main goal is to determine the posterior distribution for the states and the parameters based on their prior distributions. The mathematical representation of this approach is as follows:</w:t>
      </w:r>
    </w:p>
    <w:p w14:paraId="387FFAFB" w14:textId="25D55EA0" w:rsidR="00B15A66" w:rsidRDefault="003E6E27" w:rsidP="00C82165">
      <w:pPr>
        <w:jc w:val="center"/>
        <w:rPr>
          <w:sz w:val="24"/>
          <w:szCs w:val="24"/>
        </w:rPr>
      </w:pPr>
      <w:r>
        <w:rPr>
          <w:noProof/>
          <w:sz w:val="24"/>
          <w:szCs w:val="24"/>
        </w:rPr>
        <w:drawing>
          <wp:inline distT="0" distB="0" distL="0" distR="0" wp14:anchorId="7EFF91B5" wp14:editId="43611C7E">
            <wp:extent cx="321945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9450" cy="457200"/>
                    </a:xfrm>
                    <a:prstGeom prst="rect">
                      <a:avLst/>
                    </a:prstGeom>
                    <a:noFill/>
                  </pic:spPr>
                </pic:pic>
              </a:graphicData>
            </a:graphic>
          </wp:inline>
        </w:drawing>
      </w:r>
      <w:r>
        <w:rPr>
          <w:sz w:val="24"/>
          <w:szCs w:val="24"/>
        </w:rPr>
        <w:t xml:space="preserve"> (16)</w:t>
      </w:r>
    </w:p>
    <w:p w14:paraId="49646656" w14:textId="3A254156" w:rsidR="003E6E27" w:rsidRDefault="003E6E27">
      <w:pPr>
        <w:rPr>
          <w:rFonts w:cstheme="minorHAnsi"/>
          <w:sz w:val="24"/>
          <w:szCs w:val="24"/>
        </w:rPr>
      </w:pPr>
      <w:r>
        <w:rPr>
          <w:sz w:val="24"/>
          <w:szCs w:val="24"/>
        </w:rPr>
        <w:t xml:space="preserve">Where </w:t>
      </w:r>
      <w:r>
        <w:rPr>
          <w:noProof/>
        </w:rPr>
        <w:drawing>
          <wp:inline distT="0" distB="0" distL="0" distR="0" wp14:anchorId="37653ACC" wp14:editId="075FA08E">
            <wp:extent cx="962025" cy="20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2025" cy="209550"/>
                    </a:xfrm>
                    <a:prstGeom prst="rect">
                      <a:avLst/>
                    </a:prstGeom>
                    <a:noFill/>
                    <a:ln>
                      <a:noFill/>
                    </a:ln>
                  </pic:spPr>
                </pic:pic>
              </a:graphicData>
            </a:graphic>
          </wp:inline>
        </w:drawing>
      </w:r>
      <w:r>
        <w:rPr>
          <w:sz w:val="24"/>
          <w:szCs w:val="24"/>
        </w:rPr>
        <w:t xml:space="preserve"> is the joint likelihood and </w:t>
      </w:r>
      <w:r>
        <w:rPr>
          <w:rFonts w:cstheme="minorHAnsi"/>
          <w:sz w:val="24"/>
          <w:szCs w:val="24"/>
        </w:rPr>
        <w:t>π(</w:t>
      </w:r>
      <w:proofErr w:type="spellStart"/>
      <w:r>
        <w:rPr>
          <w:rFonts w:cstheme="minorHAnsi"/>
          <w:sz w:val="24"/>
          <w:szCs w:val="24"/>
        </w:rPr>
        <w:t>θ|λ</w:t>
      </w:r>
      <w:proofErr w:type="spellEnd"/>
      <w:r>
        <w:rPr>
          <w:rFonts w:cstheme="minorHAnsi"/>
          <w:sz w:val="24"/>
          <w:szCs w:val="24"/>
        </w:rPr>
        <w:t>) is the prior distribution(s</w:t>
      </w:r>
      <w:proofErr w:type="gramStart"/>
      <w:r>
        <w:rPr>
          <w:rFonts w:cstheme="minorHAnsi"/>
          <w:sz w:val="24"/>
          <w:szCs w:val="24"/>
        </w:rPr>
        <w:t>).</w:t>
      </w:r>
      <w:proofErr w:type="gramEnd"/>
      <w:r>
        <w:rPr>
          <w:rFonts w:cstheme="minorHAnsi"/>
          <w:sz w:val="24"/>
          <w:szCs w:val="24"/>
        </w:rPr>
        <w:t xml:space="preserve"> The denominator of equation 16 represents the probability of the data for all possible values of the states and parameters. </w:t>
      </w:r>
      <w:r w:rsidR="00D07438">
        <w:rPr>
          <w:rFonts w:cstheme="minorHAnsi"/>
          <w:sz w:val="24"/>
          <w:szCs w:val="24"/>
        </w:rPr>
        <w:t>E</w:t>
      </w:r>
      <w:r>
        <w:rPr>
          <w:rFonts w:cstheme="minorHAnsi"/>
          <w:sz w:val="24"/>
          <w:szCs w:val="24"/>
        </w:rPr>
        <w:t>quation</w:t>
      </w:r>
      <w:r w:rsidR="00D07438">
        <w:rPr>
          <w:rFonts w:cstheme="minorHAnsi"/>
          <w:sz w:val="24"/>
          <w:szCs w:val="24"/>
        </w:rPr>
        <w:t xml:space="preserve"> 16</w:t>
      </w:r>
      <w:r>
        <w:rPr>
          <w:rFonts w:cstheme="minorHAnsi"/>
          <w:sz w:val="24"/>
          <w:szCs w:val="24"/>
        </w:rPr>
        <w:t xml:space="preserve"> forms the </w:t>
      </w:r>
      <w:r w:rsidR="00F13CB1">
        <w:rPr>
          <w:rFonts w:cstheme="minorHAnsi"/>
          <w:sz w:val="24"/>
          <w:szCs w:val="24"/>
        </w:rPr>
        <w:t>basic structure of the bayes theorem:</w:t>
      </w:r>
    </w:p>
    <w:p w14:paraId="50AA1003" w14:textId="7D76BFE7" w:rsidR="00F13CB1" w:rsidRDefault="00F13CB1" w:rsidP="00F13CB1">
      <w:pPr>
        <w:jc w:val="center"/>
        <w:rPr>
          <w:sz w:val="24"/>
          <w:szCs w:val="24"/>
        </w:rPr>
      </w:pPr>
      <w:r>
        <w:rPr>
          <w:noProof/>
        </w:rPr>
        <w:drawing>
          <wp:inline distT="0" distB="0" distL="0" distR="0" wp14:anchorId="37D0CBE6" wp14:editId="66EE2BA0">
            <wp:extent cx="1343025" cy="361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3025" cy="361950"/>
                    </a:xfrm>
                    <a:prstGeom prst="rect">
                      <a:avLst/>
                    </a:prstGeom>
                    <a:noFill/>
                    <a:ln>
                      <a:noFill/>
                    </a:ln>
                  </pic:spPr>
                </pic:pic>
              </a:graphicData>
            </a:graphic>
          </wp:inline>
        </w:drawing>
      </w:r>
      <w:r>
        <w:rPr>
          <w:sz w:val="24"/>
          <w:szCs w:val="24"/>
        </w:rPr>
        <w:t xml:space="preserve"> (17)</w:t>
      </w:r>
    </w:p>
    <w:p w14:paraId="4FACEC11" w14:textId="3D54CD7C" w:rsidR="00F13CB1" w:rsidRDefault="00F13CB1" w:rsidP="00F13CB1">
      <w:pPr>
        <w:rPr>
          <w:sz w:val="24"/>
          <w:szCs w:val="24"/>
        </w:rPr>
      </w:pPr>
      <w:r>
        <w:rPr>
          <w:sz w:val="24"/>
          <w:szCs w:val="24"/>
        </w:rPr>
        <w:t xml:space="preserve">Where y refers to the observed data and </w:t>
      </w:r>
      <w:r>
        <w:rPr>
          <w:rFonts w:cstheme="minorHAnsi"/>
          <w:sz w:val="24"/>
          <w:szCs w:val="24"/>
        </w:rPr>
        <w:t>θ</w:t>
      </w:r>
      <w:r>
        <w:rPr>
          <w:sz w:val="24"/>
          <w:szCs w:val="24"/>
        </w:rPr>
        <w:t xml:space="preserve"> refers to the state and the parameters.</w:t>
      </w:r>
    </w:p>
    <w:p w14:paraId="795BDEBE" w14:textId="44FDCD76" w:rsidR="00F13CB1" w:rsidRDefault="00F13CB1" w:rsidP="00F13CB1">
      <w:pPr>
        <w:rPr>
          <w:sz w:val="24"/>
          <w:szCs w:val="24"/>
        </w:rPr>
      </w:pPr>
      <w:r>
        <w:rPr>
          <w:sz w:val="24"/>
          <w:szCs w:val="24"/>
        </w:rPr>
        <w:t xml:space="preserve">The posterior distribution is the focus in the Bayesian approach. This is done by obtaining random draws from the right-hand side of equation 16. This is a computationally expensive task that is impossible to do by hand. There are various algorithms that approximate the posterior distribution. Namely, Metropolis Hastings samplers, Hamiltonian Monte </w:t>
      </w:r>
      <w:proofErr w:type="gramStart"/>
      <w:r>
        <w:rPr>
          <w:sz w:val="24"/>
          <w:szCs w:val="24"/>
        </w:rPr>
        <w:t>Carlo</w:t>
      </w:r>
      <w:proofErr w:type="gramEnd"/>
      <w:r>
        <w:rPr>
          <w:sz w:val="24"/>
          <w:szCs w:val="24"/>
        </w:rPr>
        <w:t xml:space="preserve"> and the Gibbs sampler, amongst many</w:t>
      </w:r>
      <w:r w:rsidR="00FA76B5">
        <w:rPr>
          <w:sz w:val="24"/>
          <w:szCs w:val="24"/>
        </w:rPr>
        <w:t>. These algorithms all fall under the broader Markov Chain Monte Carlo (MCMC) algorithm class.</w:t>
      </w:r>
      <w:r w:rsidR="00EB3F03">
        <w:rPr>
          <w:sz w:val="24"/>
          <w:szCs w:val="24"/>
        </w:rPr>
        <w:t xml:space="preserve"> MCMC are methods that approximate the posterior distribution by sampling from a probabilistic distribution </w:t>
      </w:r>
      <w:r w:rsidR="00EB3F03">
        <w:rPr>
          <w:sz w:val="24"/>
          <w:szCs w:val="24"/>
        </w:rPr>
        <w:fldChar w:fldCharType="begin"/>
      </w:r>
      <w:r w:rsidR="00EB3F03">
        <w:rPr>
          <w:sz w:val="24"/>
          <w:szCs w:val="24"/>
        </w:rPr>
        <w:instrText xml:space="preserve"> ADDIN ZOTERO_ITEM CSL_CITATION {"citationID":"MIzRyC2g","properties":{"formattedCitation":"(b, 2017)","plainCitation":"(b, 2017)","noteIndex":0},"citationItems":[{"id":122,"uris":["http://zotero.org/users/7587894/items/4T2BC6S6"],"uri":["http://zotero.org/users/7587894/items/4T2BC6S6"],"itemData":{"id":122,"type":"webpage","abstract":"For many of us, Bayesian statistics is voodoo magic at best, or completely subjective nonsense at worst. Among the trademarks of the…","container-title":"Medium","language":"en","title":"A Zero-Math Introduction to Markov Chain Monte Carlo Methods","URL":"https://towardsdatascience.com/a-zero-math-introduction-to-markov-chain-monte-carlo-methods-dcba889e0c50","author":[{"family":"b","given":""}],"accessed":{"date-parts":[["2021",10,7]]},"issued":{"date-parts":[["2017",12,24]]}}}],"schema":"https://github.com/citation-style-language/schema/raw/master/csl-citation.json"} </w:instrText>
      </w:r>
      <w:r w:rsidR="00EB3F03">
        <w:rPr>
          <w:sz w:val="24"/>
          <w:szCs w:val="24"/>
        </w:rPr>
        <w:fldChar w:fldCharType="separate"/>
      </w:r>
      <w:r w:rsidR="00EB3F03" w:rsidRPr="00EB3F03">
        <w:rPr>
          <w:rFonts w:ascii="Calibri" w:hAnsi="Calibri" w:cs="Calibri"/>
          <w:sz w:val="24"/>
        </w:rPr>
        <w:t>(b, 2017)</w:t>
      </w:r>
      <w:r w:rsidR="00EB3F03">
        <w:rPr>
          <w:sz w:val="24"/>
          <w:szCs w:val="24"/>
        </w:rPr>
        <w:fldChar w:fldCharType="end"/>
      </w:r>
      <w:r w:rsidR="00EB3F03">
        <w:rPr>
          <w:sz w:val="24"/>
          <w:szCs w:val="24"/>
        </w:rPr>
        <w:t xml:space="preserve">. </w:t>
      </w:r>
    </w:p>
    <w:p w14:paraId="363A966D" w14:textId="4A498161" w:rsidR="00BA0ACB" w:rsidRDefault="00EB3F03" w:rsidP="00F13CB1">
      <w:pPr>
        <w:rPr>
          <w:sz w:val="24"/>
          <w:szCs w:val="24"/>
        </w:rPr>
      </w:pPr>
      <w:r>
        <w:rPr>
          <w:sz w:val="24"/>
          <w:szCs w:val="24"/>
        </w:rPr>
        <w:t xml:space="preserve">Another important aspect in the Bayesian approach is to apply convergence tests on the MCMC outcome, regardless of the sampler used. Testing convergence ensures that the sampler used, after approximating the probabilistic distribution many times, has converged to a </w:t>
      </w:r>
      <w:r w:rsidR="00BB2350">
        <w:rPr>
          <w:sz w:val="24"/>
          <w:szCs w:val="24"/>
        </w:rPr>
        <w:t xml:space="preserve">common interval across all MCMC chains. This can often be viewed on a </w:t>
      </w:r>
      <w:r w:rsidR="00D07438">
        <w:rPr>
          <w:sz w:val="24"/>
          <w:szCs w:val="24"/>
        </w:rPr>
        <w:t>trace plot</w:t>
      </w:r>
      <w:r w:rsidR="00BB2350">
        <w:rPr>
          <w:sz w:val="24"/>
          <w:szCs w:val="24"/>
        </w:rPr>
        <w:t xml:space="preserve"> of </w:t>
      </w:r>
      <w:r w:rsidR="00BB2350">
        <w:rPr>
          <w:sz w:val="24"/>
          <w:szCs w:val="24"/>
        </w:rPr>
        <w:lastRenderedPageBreak/>
        <w:t xml:space="preserve">MCMC outcomes </w:t>
      </w:r>
      <w:r w:rsidR="00BB2350">
        <w:rPr>
          <w:sz w:val="24"/>
          <w:szCs w:val="24"/>
        </w:rPr>
        <w:fldChar w:fldCharType="begin"/>
      </w:r>
      <w:r w:rsidR="00BB2350">
        <w:rPr>
          <w:sz w:val="24"/>
          <w:szCs w:val="24"/>
        </w:rPr>
        <w:instrText xml:space="preserve"> ADDIN ZOTERO_ITEM CSL_CITATION {"citationID":"fzJJJV99","properties":{"formattedCitation":"(Auger-M\\uc0\\u233{}th\\uc0\\u233{}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sidR="00BB2350">
        <w:rPr>
          <w:sz w:val="24"/>
          <w:szCs w:val="24"/>
        </w:rPr>
        <w:fldChar w:fldCharType="separate"/>
      </w:r>
      <w:r w:rsidR="00BB2350" w:rsidRPr="00BB2350">
        <w:rPr>
          <w:rFonts w:ascii="Calibri" w:hAnsi="Calibri" w:cs="Calibri"/>
          <w:sz w:val="24"/>
          <w:szCs w:val="24"/>
        </w:rPr>
        <w:t>(Auger-Méthé et al., 2021)</w:t>
      </w:r>
      <w:r w:rsidR="00BB2350">
        <w:rPr>
          <w:sz w:val="24"/>
          <w:szCs w:val="24"/>
        </w:rPr>
        <w:fldChar w:fldCharType="end"/>
      </w:r>
      <w:r w:rsidR="00BB2350">
        <w:rPr>
          <w:sz w:val="24"/>
          <w:szCs w:val="24"/>
        </w:rPr>
        <w:t xml:space="preserve">. A more formal approach would be the Gelman-Rubin metric </w:t>
      </w:r>
      <w:r w:rsidR="00BB2350">
        <w:rPr>
          <w:sz w:val="24"/>
          <w:szCs w:val="24"/>
        </w:rPr>
        <w:fldChar w:fldCharType="begin"/>
      </w:r>
      <w:r w:rsidR="00BB2350">
        <w:rPr>
          <w:sz w:val="24"/>
          <w:szCs w:val="24"/>
        </w:rPr>
        <w:instrText xml:space="preserve"> ADDIN ZOTERO_ITEM CSL_CITATION {"citationID":"Gmeu4Q6n","properties":{"formattedCitation":"(Gelman &amp; Rubin, 1992)","plainCitation":"(Gelman &amp; Rubin, 1992)","noteIndex":0},"citationItems":[{"id":124,"uris":["http://zotero.org/users/7587894/items/E6LSXA7U"],"uri":["http://zotero.org/users/7587894/items/E6LSXA7U"],"itemData":{"id":124,"type":"article-journal","abstract":"The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continued indefinitely. Because our focus is on applied inference for Bayesian posterior distributions in real problems, which often tend toward normality after transformations and marginalization, we derive our results as normal-theory approximations to exact Bayesian inference, conditional on the observed simulations. The methods are illustrated on a random-effects mixture model applied to experimental measurements of reaction times of normal and schizophrenic patients.","container-title":"Statistical Science","DOI":"10.1214/ss/1177011136","ISSN":"0883-4237, 2168-8745","issue":"4","note":"publisher: Institute of Mathematical Statistics","page":"457-472","source":"Project Euclid","title":"Inference from Iterative Simulation Using Multiple Sequences","volume":"7","author":[{"family":"Gelman","given":"Andrew"},{"family":"Rubin","given":"Donald B."}],"issued":{"date-parts":[["1992",11]]}}}],"schema":"https://github.com/citation-style-language/schema/raw/master/csl-citation.json"} </w:instrText>
      </w:r>
      <w:r w:rsidR="00BB2350">
        <w:rPr>
          <w:sz w:val="24"/>
          <w:szCs w:val="24"/>
        </w:rPr>
        <w:fldChar w:fldCharType="separate"/>
      </w:r>
      <w:r w:rsidR="00BB2350" w:rsidRPr="00BB2350">
        <w:rPr>
          <w:rFonts w:ascii="Calibri" w:hAnsi="Calibri" w:cs="Calibri"/>
          <w:sz w:val="24"/>
        </w:rPr>
        <w:t>(Gelman &amp; Rubin, 1992)</w:t>
      </w:r>
      <w:r w:rsidR="00BB2350">
        <w:rPr>
          <w:sz w:val="24"/>
          <w:szCs w:val="24"/>
        </w:rPr>
        <w:fldChar w:fldCharType="end"/>
      </w:r>
      <w:r w:rsidR="00BB2350">
        <w:rPr>
          <w:sz w:val="24"/>
          <w:szCs w:val="24"/>
        </w:rPr>
        <w:t>, which is a popular metric to measure convergence in an MCMC context.</w:t>
      </w:r>
    </w:p>
    <w:p w14:paraId="3CE9B786" w14:textId="5E7B4DF0" w:rsidR="00EB3F03" w:rsidRPr="00BA0ACB" w:rsidRDefault="00BA0ACB" w:rsidP="00F13CB1">
      <w:pPr>
        <w:rPr>
          <w:b/>
          <w:bCs/>
          <w:sz w:val="28"/>
          <w:szCs w:val="28"/>
        </w:rPr>
      </w:pPr>
      <w:r w:rsidRPr="00BA0ACB">
        <w:rPr>
          <w:b/>
          <w:bCs/>
          <w:sz w:val="28"/>
          <w:szCs w:val="28"/>
        </w:rPr>
        <w:t>Model Selection</w:t>
      </w:r>
      <w:r w:rsidR="00BB2350" w:rsidRPr="00BA0ACB">
        <w:rPr>
          <w:b/>
          <w:bCs/>
          <w:sz w:val="28"/>
          <w:szCs w:val="28"/>
        </w:rPr>
        <w:t xml:space="preserve">  </w:t>
      </w:r>
      <w:r w:rsidR="00EB3F03" w:rsidRPr="00BA0ACB">
        <w:rPr>
          <w:b/>
          <w:bCs/>
          <w:sz w:val="28"/>
          <w:szCs w:val="28"/>
        </w:rPr>
        <w:t xml:space="preserve"> </w:t>
      </w:r>
    </w:p>
    <w:p w14:paraId="20754BB5" w14:textId="5C304518" w:rsidR="00F0494D" w:rsidRDefault="00A20EA5">
      <w:pPr>
        <w:rPr>
          <w:sz w:val="24"/>
          <w:szCs w:val="24"/>
        </w:rPr>
      </w:pPr>
      <w:r>
        <w:rPr>
          <w:sz w:val="24"/>
          <w:szCs w:val="24"/>
        </w:rPr>
        <w:t xml:space="preserve">A </w:t>
      </w:r>
      <w:r w:rsidR="00B762D3">
        <w:rPr>
          <w:sz w:val="24"/>
          <w:szCs w:val="24"/>
        </w:rPr>
        <w:t xml:space="preserve">major drawback for SSMs is the issue of model selection. </w:t>
      </w:r>
      <w:r w:rsidR="007E44EB">
        <w:rPr>
          <w:sz w:val="24"/>
          <w:szCs w:val="24"/>
        </w:rPr>
        <w:t xml:space="preserve">Model selection for SSM is still an area of active research </w:t>
      </w:r>
      <w:r w:rsidR="007E44EB">
        <w:rPr>
          <w:sz w:val="24"/>
          <w:szCs w:val="24"/>
        </w:rPr>
        <w:fldChar w:fldCharType="begin"/>
      </w:r>
      <w:r w:rsidR="007E44EB">
        <w:rPr>
          <w:sz w:val="24"/>
          <w:szCs w:val="24"/>
        </w:rPr>
        <w:instrText xml:space="preserve"> ADDIN ZOTERO_ITEM CSL_CITATION {"citationID":"Si4cd8Ji","properties":{"formattedCitation":"(Jonsen et al., 2013)","plainCitation":"(Jonsen et al., 2013)","noteIndex":0},"citationItems":[{"id":127,"uris":["http://zotero.org/users/7587894/items/XSQBCZ26"],"uri":["http://zotero.org/users/7587894/items/XSQBCZ26"],"itemData":{"id":127,"type":"article-journal","abstract":"Ecologists have an unprecedented array of bio-logging technologies available to conduct in situ studies of horizontal and vertical movement patterns of marine animals. These tracking data provide key information about foraging, migratory, and other behaviours that can be linked with bio-physical datasets to understand physiological and ecological influences on habitat selection. In most cases, however, the behavioural context is not directly observable and therefore, must be inferred. Animal movement data are complex in structure, entailing a need for stochastic analysis methods. The recent development of state-space modelling approaches for animal movement data provides statistical rigor for inferring hidden behavioural states, relating these states to bio-physical data, and ultimately for predicting the potential impacts of climate change. Despite the widespread utility, and current popularity, of state-space models for analysis of animal tracking data, these tools are not simple and require considerable care in their use. Here we develop a methodological “road map” for ecologists by reviewing currently available state-space implementations. We discuss appropriate use of state-space methods for location and/or behavioural state estimation from different tracking data types. Finally, we outline key areas where the methodology is advancing, and where it needs further development.","collection-title":"Fourth International Symposium on Bio-logging Science","container-title":"Deep Sea Research Part II: Topical Studies in Oceanography","DOI":"10.1016/j.dsr2.2012.07.008","ISSN":"0967-0645","journalAbbreviation":"Deep Sea Research Part II: Topical Studies in Oceanography","language":"en","page":"34-46","source":"ScienceDirect","title":"State-space models for bio-loggers: A methodological road map","title-short":"State-space models for bio-loggers","volume":"88-89","author":[{"family":"Jonsen","given":"I. D."},{"family":"Basson","given":"M."},{"family":"Bestley","given":"S."},{"family":"Bravington","given":"M. V."},{"family":"Patterson","given":"T. A."},{"family":"Pedersen","given":"M. W."},{"family":"Thomson","given":"R."},{"family":"Thygesen","given":"U. H."},{"family":"Wotherspoon","given":"S. J."}],"issued":{"date-parts":[["2013",4,1]]}}}],"schema":"https://github.com/citation-style-language/schema/raw/master/csl-citation.json"} </w:instrText>
      </w:r>
      <w:r w:rsidR="007E44EB">
        <w:rPr>
          <w:sz w:val="24"/>
          <w:szCs w:val="24"/>
        </w:rPr>
        <w:fldChar w:fldCharType="separate"/>
      </w:r>
      <w:r w:rsidR="007E44EB" w:rsidRPr="007E44EB">
        <w:rPr>
          <w:rFonts w:ascii="Calibri" w:hAnsi="Calibri" w:cs="Calibri"/>
          <w:sz w:val="24"/>
        </w:rPr>
        <w:t>(Jonsen et al., 2013)</w:t>
      </w:r>
      <w:r w:rsidR="007E44EB">
        <w:rPr>
          <w:sz w:val="24"/>
          <w:szCs w:val="24"/>
        </w:rPr>
        <w:fldChar w:fldCharType="end"/>
      </w:r>
      <w:r w:rsidR="007E44EB">
        <w:rPr>
          <w:sz w:val="24"/>
          <w:szCs w:val="24"/>
        </w:rPr>
        <w:t>. SSM model selection</w:t>
      </w:r>
      <w:r w:rsidR="00B762D3">
        <w:rPr>
          <w:sz w:val="24"/>
          <w:szCs w:val="24"/>
        </w:rPr>
        <w:t xml:space="preserve"> becomes difficult as the computation power needed to run an SSM is so large.</w:t>
      </w:r>
      <w:r w:rsidR="007E44EB">
        <w:rPr>
          <w:sz w:val="24"/>
          <w:szCs w:val="24"/>
        </w:rPr>
        <w:t xml:space="preserve"> </w:t>
      </w:r>
      <w:r w:rsidR="00B762D3">
        <w:rPr>
          <w:sz w:val="24"/>
          <w:szCs w:val="24"/>
        </w:rPr>
        <w:t xml:space="preserve">Often ecologists end up using only one SSM model in the study because of </w:t>
      </w:r>
      <w:r w:rsidR="007E44EB">
        <w:rPr>
          <w:sz w:val="24"/>
          <w:szCs w:val="24"/>
        </w:rPr>
        <w:t>limited computational power</w:t>
      </w:r>
      <w:r w:rsidR="00B762D3">
        <w:rPr>
          <w:sz w:val="24"/>
          <w:szCs w:val="24"/>
        </w:rPr>
        <w:t xml:space="preserve">. </w:t>
      </w:r>
    </w:p>
    <w:p w14:paraId="3BECF436" w14:textId="7B455C2E" w:rsidR="00E764DB" w:rsidRDefault="00F0494D">
      <w:pPr>
        <w:rPr>
          <w:sz w:val="24"/>
          <w:szCs w:val="24"/>
        </w:rPr>
      </w:pPr>
      <w:r>
        <w:rPr>
          <w:sz w:val="24"/>
          <w:szCs w:val="24"/>
        </w:rPr>
        <w:t xml:space="preserve">Model comparison methods will differ depending on whether the SSM is conducted in a Frequentist framework or a Bayesian framework. The </w:t>
      </w:r>
      <w:r w:rsidR="007E44EB">
        <w:rPr>
          <w:sz w:val="24"/>
          <w:szCs w:val="24"/>
        </w:rPr>
        <w:t>most used</w:t>
      </w:r>
      <w:r>
        <w:rPr>
          <w:sz w:val="24"/>
          <w:szCs w:val="24"/>
        </w:rPr>
        <w:t xml:space="preserve"> model selection method for a frequentist SSM is the Akaike Information Criterion (AIC). The AIC is a popular model selection method in many statistical models. The AIC measures how well the model fits the data and penalizes models with a higher number of parameters. AIC, however, doesn</w:t>
      </w:r>
      <w:r w:rsidR="00B71D6A">
        <w:rPr>
          <w:sz w:val="24"/>
          <w:szCs w:val="24"/>
        </w:rPr>
        <w:t>’t work well for SSMs, even in a frequentist framework</w:t>
      </w:r>
      <w:r w:rsidR="004F4ECB">
        <w:rPr>
          <w:sz w:val="24"/>
          <w:szCs w:val="24"/>
        </w:rPr>
        <w:t>,</w:t>
      </w:r>
      <w:r w:rsidR="007E44EB">
        <w:rPr>
          <w:sz w:val="24"/>
          <w:szCs w:val="24"/>
        </w:rPr>
        <w:t xml:space="preserve"> for various reasons</w:t>
      </w:r>
      <w:r w:rsidR="00B71D6A">
        <w:rPr>
          <w:sz w:val="24"/>
          <w:szCs w:val="24"/>
        </w:rPr>
        <w:t xml:space="preserve"> </w:t>
      </w:r>
      <w:r w:rsidR="00B71D6A">
        <w:rPr>
          <w:sz w:val="24"/>
          <w:szCs w:val="24"/>
        </w:rPr>
        <w:fldChar w:fldCharType="begin"/>
      </w:r>
      <w:r w:rsidR="00B71D6A">
        <w:rPr>
          <w:sz w:val="24"/>
          <w:szCs w:val="24"/>
        </w:rPr>
        <w:instrText xml:space="preserve"> ADDIN ZOTERO_ITEM CSL_CITATION {"citationID":"lRxPRj08","properties":{"formattedCitation":"(Auger-M\\uc0\\u233{}th\\uc0\\u233{}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sidR="00B71D6A">
        <w:rPr>
          <w:sz w:val="24"/>
          <w:szCs w:val="24"/>
        </w:rPr>
        <w:fldChar w:fldCharType="separate"/>
      </w:r>
      <w:r w:rsidR="00B71D6A" w:rsidRPr="00B71D6A">
        <w:rPr>
          <w:rFonts w:ascii="Calibri" w:hAnsi="Calibri" w:cs="Calibri"/>
          <w:sz w:val="24"/>
          <w:szCs w:val="24"/>
        </w:rPr>
        <w:t>(Auger-Méthé et al., 2021)</w:t>
      </w:r>
      <w:r w:rsidR="00B71D6A">
        <w:rPr>
          <w:sz w:val="24"/>
          <w:szCs w:val="24"/>
        </w:rPr>
        <w:fldChar w:fldCharType="end"/>
      </w:r>
      <w:r w:rsidR="00B71D6A">
        <w:rPr>
          <w:sz w:val="24"/>
          <w:szCs w:val="24"/>
        </w:rPr>
        <w:t xml:space="preserve">. </w:t>
      </w:r>
    </w:p>
    <w:p w14:paraId="7FE46085" w14:textId="74B23FF7" w:rsidR="008A1A2C" w:rsidRDefault="008A1A2C">
      <w:pPr>
        <w:rPr>
          <w:sz w:val="24"/>
          <w:szCs w:val="24"/>
        </w:rPr>
      </w:pPr>
      <w:r>
        <w:rPr>
          <w:sz w:val="24"/>
          <w:szCs w:val="24"/>
        </w:rPr>
        <w:t xml:space="preserve">For SSMs in a Bayesian context, AIC is not well defined </w:t>
      </w:r>
      <w:r w:rsidR="00297B6B">
        <w:rPr>
          <w:sz w:val="24"/>
          <w:szCs w:val="24"/>
        </w:rPr>
        <w:fldChar w:fldCharType="begin"/>
      </w:r>
      <w:r w:rsidR="00297B6B">
        <w:rPr>
          <w:sz w:val="24"/>
          <w:szCs w:val="24"/>
        </w:rPr>
        <w:instrText xml:space="preserve"> ADDIN ZOTERO_ITEM CSL_CITATION {"citationID":"WpMuAHrZ","properties":{"formattedCitation":"(Hooten &amp; Hobbs, 2015)","plainCitation":"(Hooten &amp; Hobbs, 2015)","noteIndex":0},"citationItems":[{"id":132,"uris":["http://zotero.org/users/7587894/items/9CHZJMLE"],"uri":["http://zotero.org/users/7587894/items/9CHZJMLE"],"itemData":{"id":132,"type":"article-journal","abstract":"The steady upward trend in the use of model selection and Bayesian methods in ecological research has made it clear that both approaches to inference are important for modern analysis of models and data. However, in teaching Bayesian methods and in working with our research colleagues, we have noticed a general dissatisfaction with the available literature on Bayesian model selection and multimodel inference. Students and researchers new to Bayesian methods quickly find that the published advice on model selection is often preferential in its treatment of options for analysis, frequently advocating one particular method above others. The recent appearance of many articles and textbooks on Bayesian modeling has provided welcome background on relevant approaches to model selection in the Bayesian framework, but most of these are either very narrowly focused in scope or inaccessible to ecologists. Moreover, the methodological details of Bayesian model selection approaches are spread thinly throughout the literature, appearing in journals from many different fields. Our aim with this guide is to condense the large body of literature on Bayesian approaches to model selection and multimodel inference and present it specifically for quantitative ecologists as neutrally as possible. We also bring to light a few important and fundamental concepts relating directly to model selection that seem to have gone unnoticed in the ecological literature. Throughout, we provide only a minimal discussion of philosophy, preferring instead to examine the breadth of approaches as well as their practical advantages and disadvantages. This guide serves as a reference for ecologists using Bayesian methods, so that they can better understand their options and can make an informed choice that is best aligned with their goals for inference.","container-title":"Ecological Monographs","DOI":"10.1890/14-0661.1","ISSN":"1557-7015","issue":"1","language":"en","note":"_eprint: https://onlinelibrary.wiley.com/doi/pdf/10.1890/14-0661.1","page":"3-28","source":"Wiley Online Library","title":"A guide to Bayesian model selection for ecologists","volume":"85","author":[{"family":"Hooten","given":"M. B."},{"family":"Hobbs","given":"N. T."}],"issued":{"date-parts":[["2015"]]}}}],"schema":"https://github.com/citation-style-language/schema/raw/master/csl-citation.json"} </w:instrText>
      </w:r>
      <w:r w:rsidR="00297B6B">
        <w:rPr>
          <w:sz w:val="24"/>
          <w:szCs w:val="24"/>
        </w:rPr>
        <w:fldChar w:fldCharType="separate"/>
      </w:r>
      <w:r w:rsidR="00297B6B" w:rsidRPr="00297B6B">
        <w:rPr>
          <w:rFonts w:ascii="Calibri" w:hAnsi="Calibri" w:cs="Calibri"/>
          <w:sz w:val="24"/>
        </w:rPr>
        <w:t>(Hooten &amp; Hobbs, 2015)</w:t>
      </w:r>
      <w:r w:rsidR="00297B6B">
        <w:rPr>
          <w:sz w:val="24"/>
          <w:szCs w:val="24"/>
        </w:rPr>
        <w:fldChar w:fldCharType="end"/>
      </w:r>
      <w:r w:rsidR="00297B6B">
        <w:rPr>
          <w:sz w:val="24"/>
          <w:szCs w:val="24"/>
        </w:rPr>
        <w:t xml:space="preserve">. There are 3 </w:t>
      </w:r>
      <w:r w:rsidR="004F4ECB">
        <w:rPr>
          <w:sz w:val="24"/>
          <w:szCs w:val="24"/>
        </w:rPr>
        <w:t>notable</w:t>
      </w:r>
      <w:r w:rsidR="00297B6B">
        <w:rPr>
          <w:sz w:val="24"/>
          <w:szCs w:val="24"/>
        </w:rPr>
        <w:t xml:space="preserve"> model selection methods used for Bayesian </w:t>
      </w:r>
      <w:r w:rsidR="00D07438">
        <w:rPr>
          <w:sz w:val="24"/>
          <w:szCs w:val="24"/>
        </w:rPr>
        <w:t>SSMs</w:t>
      </w:r>
      <w:r w:rsidR="00297B6B">
        <w:rPr>
          <w:sz w:val="24"/>
          <w:szCs w:val="24"/>
        </w:rPr>
        <w:t xml:space="preserve">. These are the WAIC, DIC and BIC. Many sources of literature have proven DIC and BIC to not be very good at all in Bayesian model selection </w:t>
      </w:r>
      <w:r w:rsidR="00297B6B">
        <w:rPr>
          <w:sz w:val="24"/>
          <w:szCs w:val="24"/>
        </w:rPr>
        <w:fldChar w:fldCharType="begin"/>
      </w:r>
      <w:r w:rsidR="00297B6B">
        <w:rPr>
          <w:sz w:val="24"/>
          <w:szCs w:val="24"/>
        </w:rPr>
        <w:instrText xml:space="preserve"> ADDIN ZOTERO_ITEM CSL_CITATION {"citationID":"GVND2ZsQ","properties":{"formattedCitation":"(Auger-M\\uc0\\u233{}th\\uc0\\u233{} et al., 2021; Gelman et al., 2014; Hooten &amp; Hobbs, 2015)","plainCitation":"(Auger-Méthé et al., 2021; Gelman et al., 2014; Hooten &amp; Hobbs, 2015)","noteIndex":0},"citationItems":[{"id":94,"uris":["http://zotero.org/users/7587894/items/6U25T63X"],"uri":["http://zotero.org/users/7587894/items/6U25T63X"],"itemData":{"id":94,"type":"article-journal","abstract":"State-space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label":"page"},{"id":135,"uris":["http://zotero.org/users/7587894/items/NATYIA85"],"uri":["http://zotero.org/users/7587894/items/NATYIA85"],"itemData":{"id":135,"type":"article-journal","abstract":"We review the Akaike, deviance, and Watanabe-Akaike information criteria from a Bayesian perspective, where the goal is to estimate expected out-of-sample-prediction error using a bias-corrected adjustment of within-sample error. We focus on the choices involved in setting up these measures, and we compare them in three simple examples, one theoretical and two applied. The contribution of this paper is to put all these information criteria into a Bayesian predictive context and to better understand, through small examples, how these methods can apply in practice.","container-title":"Statistics and Computing","DOI":"10.1007/s11222-013-9416-2","ISSN":"1573-1375","issue":"6","journalAbbreviation":"Stat Comput","language":"en","page":"997-1016","source":"Springer Link","title":"Understanding predictive information criteria for Bayesian models","volume":"24","author":[{"family":"Gelman","given":"Andrew"},{"family":"Hwang","given":"Jessica"},{"family":"Vehtari","given":"Aki"}],"issued":{"date-parts":[["2014",11,1]]}},"label":"page"},{"id":132,"uris":["http://zotero.org/users/7587894/items/9CHZJMLE"],"uri":["http://zotero.org/users/7587894/items/9CHZJMLE"],"itemData":{"id":132,"type":"article-journal","abstract":"The steady upward trend in the use of model selection and Bayesian methods in ecological research has made it clear that both approaches to inference are important for modern analysis of models and data. However, in teaching Bayesian methods and in working with our research colleagues, we have noticed a general dissatisfaction with the available literature on Bayesian model selection and multimodel inference. Students and researchers new to Bayesian methods quickly find that the published advice on model selection is often preferential in its treatment of options for analysis, frequently advocating one particular method above others. The recent appearance of many articles and textbooks on Bayesian modeling has provided welcome background on relevant approaches to model selection in the Bayesian framework, but most of these are either very narrowly focused in scope or inaccessible to ecologists. Moreover, the methodological details of Bayesian model selection approaches are spread thinly throughout the literature, appearing in journals from many different fields. Our aim with this guide is to condense the large body of literature on Bayesian approaches to model selection and multimodel inference and present it specifically for quantitative ecologists as neutrally as possible. We also bring to light a few important and fundamental concepts relating directly to model selection that seem to have gone unnoticed in the ecological literature. Throughout, we provide only a minimal discussion of philosophy, preferring instead to examine the breadth of approaches as well as their practical advantages and disadvantages. This guide serves as a reference for ecologists using Bayesian methods, so that they can better understand their options and can make an informed choice that is best aligned with their goals for inference.","container-title":"Ecological Monographs","DOI":"10.1890/14-0661.1","ISSN":"1557-7015","issue":"1","language":"en","note":"_eprint: https://onlinelibrary.wiley.com/doi/pdf/10.1890/14-0661.1","page":"3-28","source":"Wiley Online Library","title":"A guide to Bayesian model selection for ecologists","volume":"85","author":[{"family":"Hooten","given":"M. B."},{"family":"Hobbs","given":"N. T."}],"issued":{"date-parts":[["2015"]]}},"label":"page"}],"schema":"https://github.com/citation-style-language/schema/raw/master/csl-citation.json"} </w:instrText>
      </w:r>
      <w:r w:rsidR="00297B6B">
        <w:rPr>
          <w:sz w:val="24"/>
          <w:szCs w:val="24"/>
        </w:rPr>
        <w:fldChar w:fldCharType="separate"/>
      </w:r>
      <w:r w:rsidR="00297B6B" w:rsidRPr="00297B6B">
        <w:rPr>
          <w:rFonts w:ascii="Calibri" w:hAnsi="Calibri" w:cs="Calibri"/>
          <w:sz w:val="24"/>
          <w:szCs w:val="24"/>
        </w:rPr>
        <w:t>(Auger-Méthé et al., 2021; Gelman et al., 2014; Hooten &amp; Hobbs, 2015)</w:t>
      </w:r>
      <w:r w:rsidR="00297B6B">
        <w:rPr>
          <w:sz w:val="24"/>
          <w:szCs w:val="24"/>
        </w:rPr>
        <w:fldChar w:fldCharType="end"/>
      </w:r>
      <w:r w:rsidR="00297B6B">
        <w:rPr>
          <w:sz w:val="24"/>
          <w:szCs w:val="24"/>
        </w:rPr>
        <w:t xml:space="preserve">. Sources have found WAIC to be more effective than DIC and BIC, even though it still fails in many cases </w:t>
      </w:r>
      <w:r w:rsidR="00297B6B">
        <w:rPr>
          <w:sz w:val="24"/>
          <w:szCs w:val="24"/>
        </w:rPr>
        <w:fldChar w:fldCharType="begin"/>
      </w:r>
      <w:r w:rsidR="00297B6B">
        <w:rPr>
          <w:sz w:val="24"/>
          <w:szCs w:val="24"/>
        </w:rPr>
        <w:instrText xml:space="preserve"> ADDIN ZOTERO_ITEM CSL_CITATION {"citationID":"tfMPmsry","properties":{"formattedCitation":"(Gelman et al., 2014)","plainCitation":"(Gelman et al., 2014)","noteIndex":0},"citationItems":[{"id":135,"uris":["http://zotero.org/users/7587894/items/NATYIA85"],"uri":["http://zotero.org/users/7587894/items/NATYIA85"],"itemData":{"id":135,"type":"article-journal","abstract":"We review the Akaike, deviance, and Watanabe-Akaike information criteria from a Bayesian perspective, where the goal is to estimate expected out-of-sample-prediction error using a bias-corrected adjustment of within-sample error. We focus on the choices involved in setting up these measures, and we compare them in three simple examples, one theoretical and two applied. The contribution of this paper is to put all these information criteria into a Bayesian predictive context and to better understand, through small examples, how these methods can apply in practice.","container-title":"Statistics and Computing","DOI":"10.1007/s11222-013-9416-2","ISSN":"1573-1375","issue":"6","journalAbbreviation":"Stat Comput","language":"en","page":"997-1016","source":"Springer Link","title":"Understanding predictive information criteria for Bayesian models","volume":"24","author":[{"family":"Gelman","given":"Andrew"},{"family":"Hwang","given":"Jessica"},{"family":"Vehtari","given":"Aki"}],"issued":{"date-parts":[["2014",11,1]]}}}],"schema":"https://github.com/citation-style-language/schema/raw/master/csl-citation.json"} </w:instrText>
      </w:r>
      <w:r w:rsidR="00297B6B">
        <w:rPr>
          <w:sz w:val="24"/>
          <w:szCs w:val="24"/>
        </w:rPr>
        <w:fldChar w:fldCharType="separate"/>
      </w:r>
      <w:r w:rsidR="00297B6B" w:rsidRPr="00297B6B">
        <w:rPr>
          <w:rFonts w:ascii="Calibri" w:hAnsi="Calibri" w:cs="Calibri"/>
          <w:sz w:val="24"/>
        </w:rPr>
        <w:t>(Gelman et al., 2014)</w:t>
      </w:r>
      <w:r w:rsidR="00297B6B">
        <w:rPr>
          <w:sz w:val="24"/>
          <w:szCs w:val="24"/>
        </w:rPr>
        <w:fldChar w:fldCharType="end"/>
      </w:r>
      <w:r w:rsidR="00297B6B">
        <w:rPr>
          <w:sz w:val="24"/>
          <w:szCs w:val="24"/>
        </w:rPr>
        <w:t>. The method most of the literature agreed upon was a cross validation method. In this cross-validation method, the SSM would be fit with a training set of the data, while an unused subset of the data</w:t>
      </w:r>
      <w:r w:rsidR="004F4ECB">
        <w:rPr>
          <w:sz w:val="24"/>
          <w:szCs w:val="24"/>
        </w:rPr>
        <w:t xml:space="preserve"> (the test set)</w:t>
      </w:r>
      <w:r w:rsidR="00297B6B">
        <w:rPr>
          <w:sz w:val="24"/>
          <w:szCs w:val="24"/>
        </w:rPr>
        <w:t xml:space="preserve"> is used to determine the effectiveness of the SSMs forecasting capacity. The SSM that </w:t>
      </w:r>
      <w:r w:rsidR="004F4ECB">
        <w:rPr>
          <w:sz w:val="24"/>
          <w:szCs w:val="24"/>
        </w:rPr>
        <w:t>forecasts</w:t>
      </w:r>
      <w:r w:rsidR="00297B6B">
        <w:rPr>
          <w:sz w:val="24"/>
          <w:szCs w:val="24"/>
        </w:rPr>
        <w:t xml:space="preserve"> values closest to the </w:t>
      </w:r>
      <w:r w:rsidR="004F4ECB">
        <w:rPr>
          <w:sz w:val="24"/>
          <w:szCs w:val="24"/>
        </w:rPr>
        <w:t xml:space="preserve">corresponding </w:t>
      </w:r>
      <w:r w:rsidR="00297B6B">
        <w:rPr>
          <w:sz w:val="24"/>
          <w:szCs w:val="24"/>
        </w:rPr>
        <w:t>test</w:t>
      </w:r>
      <w:r w:rsidR="004F4ECB">
        <w:rPr>
          <w:sz w:val="24"/>
          <w:szCs w:val="24"/>
        </w:rPr>
        <w:t xml:space="preserve"> set</w:t>
      </w:r>
      <w:r w:rsidR="00297B6B">
        <w:rPr>
          <w:sz w:val="24"/>
          <w:szCs w:val="24"/>
        </w:rPr>
        <w:t xml:space="preserve"> values is</w:t>
      </w:r>
      <w:r w:rsidR="004F4ECB">
        <w:rPr>
          <w:sz w:val="24"/>
          <w:szCs w:val="24"/>
        </w:rPr>
        <w:t xml:space="preserve"> then considered</w:t>
      </w:r>
      <w:r w:rsidR="00297B6B">
        <w:rPr>
          <w:sz w:val="24"/>
          <w:szCs w:val="24"/>
        </w:rPr>
        <w:t xml:space="preserve"> the “best” model. This method works well</w:t>
      </w:r>
      <w:r w:rsidR="00BD5682">
        <w:rPr>
          <w:sz w:val="24"/>
          <w:szCs w:val="24"/>
        </w:rPr>
        <w:t xml:space="preserve"> but has its limitations when data is sparse. In the case of sparsity, splitting the data into a train and test set becomes difficult as the train set may not be sufficient to produce an accurate model.</w:t>
      </w:r>
      <w:r w:rsidR="004F4ECB">
        <w:rPr>
          <w:sz w:val="24"/>
          <w:szCs w:val="24"/>
        </w:rPr>
        <w:t xml:space="preserve"> Furthermore, the cross-validation method for SSMs is computationally expensive.</w:t>
      </w:r>
    </w:p>
    <w:p w14:paraId="2D690FF9" w14:textId="442C8A9B" w:rsidR="00BD5682" w:rsidRDefault="00BD5682">
      <w:pPr>
        <w:rPr>
          <w:sz w:val="24"/>
          <w:szCs w:val="24"/>
        </w:rPr>
      </w:pPr>
      <w:r>
        <w:rPr>
          <w:sz w:val="24"/>
          <w:szCs w:val="24"/>
        </w:rPr>
        <w:fldChar w:fldCharType="begin"/>
      </w:r>
      <w:r>
        <w:rPr>
          <w:sz w:val="24"/>
          <w:szCs w:val="24"/>
        </w:rPr>
        <w:instrText xml:space="preserve"> ADDIN ZOTERO_ITEM CSL_CITATION {"citationID":"hoCx9fo4","properties":{"custom":"Yoccoz (1991)","formattedCitation":"Yoccoz (1991)","plainCitation":"Yoccoz (1991)","noteIndex":0},"citationItems":[{"id":115,"uris":["http://zotero.org/users/7587894/items/D7F33RN2"],"uri":["http://zotero.org/users/7587894/items/D7F33RN2"],"itemData":{"id":115,"type":"article-journal","container-title":"Bulletin of the Ecological Society of America","ISSN":"0012-9623","issue":"2","note":"publisher: [Wiley, Ecological Society of America]","page":"106-111","source":"JSTOR","title":"Use, Overuse, and Misuse of Significance Tests in Evolutionary Biology and Ecology","volume":"72","author":[{"family":"Yoccoz","given":"Nigel G."}],"issued":{"date-parts":[["1991"]]}}}],"schema":"https://github.com/citation-style-language/schema/raw/master/csl-citation.json"} </w:instrText>
      </w:r>
      <w:r>
        <w:rPr>
          <w:sz w:val="24"/>
          <w:szCs w:val="24"/>
        </w:rPr>
        <w:fldChar w:fldCharType="separate"/>
      </w:r>
      <w:r w:rsidRPr="00BD5682">
        <w:rPr>
          <w:rFonts w:ascii="Calibri" w:hAnsi="Calibri" w:cs="Calibri"/>
          <w:sz w:val="24"/>
        </w:rPr>
        <w:t>Yoccoz (1991)</w:t>
      </w:r>
      <w:r>
        <w:rPr>
          <w:sz w:val="24"/>
          <w:szCs w:val="24"/>
        </w:rPr>
        <w:fldChar w:fldCharType="end"/>
      </w:r>
      <w:r w:rsidR="000B2A6D">
        <w:rPr>
          <w:sz w:val="24"/>
          <w:szCs w:val="24"/>
        </w:rPr>
        <w:t xml:space="preserve"> and </w:t>
      </w:r>
      <w:r w:rsidR="000B2A6D">
        <w:rPr>
          <w:sz w:val="24"/>
          <w:szCs w:val="24"/>
        </w:rPr>
        <w:fldChar w:fldCharType="begin"/>
      </w:r>
      <w:r w:rsidR="000B2A6D">
        <w:rPr>
          <w:sz w:val="24"/>
          <w:szCs w:val="24"/>
        </w:rPr>
        <w:instrText xml:space="preserve"> ADDIN ZOTERO_ITEM CSL_CITATION {"citationID":"gjxJPMjx","properties":{"custom":"Cox et al. (1977)","formattedCitation":"Cox et al. (1977)","plainCitation":"Cox et al. (1977)","noteIndex":0},"citationItems":[{"id":137,"uris":["http://zotero.org/users/7587894/items/T2VSDPFY"],"uri":["http://zotero.org/users/7587894/items/T2VSDPFY"],"itemData":{"id":137,"type":"article-journal","abstract":"The main object of the paper is to give a general review of the nature and importance of significance tests. Such tests are regarded as procedures for measuring the consistency of data with a null hypothesis by the calculation of a p-value (tail area). A distinction is drawn between several kinds of null hypothesis. The ways of deriving tests, namely via the so-called absolute test, via implicit consideration of alternatives and via explicit consideration of alternatives are reviewed. Some of the difficulties of multidimensional alternatives are outlined and the importance of the diagnostic ability of a test is stressed. Brief examples include tests of distributional form including multivariate normality. The effect of modifying statistical analysis in the light of the data is discussed, four main cases being distinguished. Then a number of more technical aspects of significance tests are outlined, including the role of two-sided tests, the role of the continuity correction, Bayesian tests and the use of tests in the comparison of alternative models. Finally the circumstances are reviewed under which significance tests can provide the main summary of a statistical analysis.","container-title":"Scandinavian Journal of Statistics","ISSN":"0303-6898","issue":"2","note":"publisher: [Board of the Foundation of the Scandinavian Journal of Statistics, Wiley]","page":"49-70","source":"JSTOR","title":"The Role of Significance Tests [with Discussion and Reply]","volume":"4","author":[{"family":"Cox","given":"D. R."},{"family":"Spjøtvoll","given":"Emil"},{"family":"Johansen","given":"Søren"},{"family":"Zwet","given":"Willem R.","non-dropping-particle":"van"},{"family":"Bithell","given":"J. F."},{"family":"Barndorff-Nielsen","given":"Ole"},{"family":"Keuls","given":"M."}],"issued":{"date-parts":[["1977"]]}}}],"schema":"https://github.com/citation-style-language/schema/raw/master/csl-citation.json"} </w:instrText>
      </w:r>
      <w:r w:rsidR="000B2A6D">
        <w:rPr>
          <w:sz w:val="24"/>
          <w:szCs w:val="24"/>
        </w:rPr>
        <w:fldChar w:fldCharType="separate"/>
      </w:r>
      <w:r w:rsidR="000B2A6D" w:rsidRPr="000B2A6D">
        <w:rPr>
          <w:rFonts w:ascii="Calibri" w:hAnsi="Calibri" w:cs="Calibri"/>
          <w:sz w:val="24"/>
        </w:rPr>
        <w:t>Cox et al. (1977)</w:t>
      </w:r>
      <w:r w:rsidR="000B2A6D">
        <w:rPr>
          <w:sz w:val="24"/>
          <w:szCs w:val="24"/>
        </w:rPr>
        <w:fldChar w:fldCharType="end"/>
      </w:r>
      <w:r>
        <w:rPr>
          <w:sz w:val="24"/>
          <w:szCs w:val="24"/>
        </w:rPr>
        <w:t>, states that, at times, ecologists tend to overemphasize the use of statistical measures for model selection and fail to prioritise biological</w:t>
      </w:r>
      <w:r w:rsidR="000B2A6D">
        <w:rPr>
          <w:sz w:val="24"/>
          <w:szCs w:val="24"/>
        </w:rPr>
        <w:t xml:space="preserve"> or ecological</w:t>
      </w:r>
      <w:r>
        <w:rPr>
          <w:sz w:val="24"/>
          <w:szCs w:val="24"/>
        </w:rPr>
        <w:t xml:space="preserve"> significance. Given the contentious issues regarding model selection for SSMs, it may be of benefit to choose the SSM that is based on sound ecological fundamentals rather than contentious model selection statistics. More time and effort should be focused on</w:t>
      </w:r>
      <w:r w:rsidR="004F4ECB">
        <w:rPr>
          <w:sz w:val="24"/>
          <w:szCs w:val="24"/>
        </w:rPr>
        <w:t xml:space="preserve"> the</w:t>
      </w:r>
      <w:r>
        <w:rPr>
          <w:sz w:val="24"/>
          <w:szCs w:val="24"/>
        </w:rPr>
        <w:t xml:space="preserve"> modelling</w:t>
      </w:r>
      <w:r w:rsidR="004F4ECB">
        <w:rPr>
          <w:sz w:val="24"/>
          <w:szCs w:val="24"/>
        </w:rPr>
        <w:t xml:space="preserve"> process and ensuring the correct ecological processes are modelled into the SSM</w:t>
      </w:r>
      <w:r w:rsidR="000B2A6D">
        <w:rPr>
          <w:sz w:val="24"/>
          <w:szCs w:val="24"/>
        </w:rPr>
        <w:t>.</w:t>
      </w:r>
      <w:r>
        <w:rPr>
          <w:sz w:val="24"/>
          <w:szCs w:val="24"/>
        </w:rPr>
        <w:t xml:space="preserve"> </w:t>
      </w:r>
    </w:p>
    <w:p w14:paraId="7C59791A" w14:textId="77777777" w:rsidR="005757A7" w:rsidRDefault="005757A7">
      <w:pPr>
        <w:rPr>
          <w:sz w:val="24"/>
          <w:szCs w:val="24"/>
        </w:rPr>
      </w:pPr>
    </w:p>
    <w:p w14:paraId="367E52D9" w14:textId="00653FF9" w:rsidR="00C47F36" w:rsidRPr="005757A7" w:rsidRDefault="005757A7">
      <w:pPr>
        <w:rPr>
          <w:b/>
          <w:bCs/>
          <w:sz w:val="32"/>
          <w:szCs w:val="32"/>
        </w:rPr>
      </w:pPr>
      <w:r w:rsidRPr="005757A7">
        <w:rPr>
          <w:b/>
          <w:bCs/>
          <w:sz w:val="32"/>
          <w:szCs w:val="32"/>
        </w:rPr>
        <w:t>2.3 Bioindicators</w:t>
      </w:r>
      <w:r w:rsidR="00FE4B6A" w:rsidRPr="005757A7">
        <w:rPr>
          <w:b/>
          <w:bCs/>
          <w:sz w:val="32"/>
          <w:szCs w:val="32"/>
        </w:rPr>
        <w:t xml:space="preserve"> </w:t>
      </w:r>
      <w:r w:rsidR="00557D19" w:rsidRPr="005757A7">
        <w:rPr>
          <w:b/>
          <w:bCs/>
          <w:sz w:val="32"/>
          <w:szCs w:val="32"/>
        </w:rPr>
        <w:t xml:space="preserve"> </w:t>
      </w:r>
    </w:p>
    <w:p w14:paraId="6C1550C8" w14:textId="7D665426" w:rsidR="00C47F36" w:rsidRDefault="009B5B7D">
      <w:pPr>
        <w:rPr>
          <w:sz w:val="24"/>
          <w:szCs w:val="24"/>
        </w:rPr>
      </w:pPr>
      <w:r>
        <w:rPr>
          <w:sz w:val="24"/>
          <w:szCs w:val="24"/>
        </w:rPr>
        <w:t xml:space="preserve">Fitting SSMs to population data helps the general population see how the species population has fluctuated over the years. </w:t>
      </w:r>
      <w:r w:rsidR="00CB74CB">
        <w:rPr>
          <w:sz w:val="24"/>
          <w:szCs w:val="24"/>
        </w:rPr>
        <w:t xml:space="preserve">But these models don’t tell the viewer much </w:t>
      </w:r>
      <w:r w:rsidR="00CB74CB">
        <w:rPr>
          <w:sz w:val="24"/>
          <w:szCs w:val="24"/>
        </w:rPr>
        <w:lastRenderedPageBreak/>
        <w:t>about the environment the species are in or the biodiversity of the ecosystem. This is where bioindicators come in. The second objective of this study is to develop bioindicators using the SSMs applied to the CWAC data. This section looks at bioindicators in use today and their purposes. Which range from indicating the species environment’s health to population abundance aggregation.</w:t>
      </w:r>
    </w:p>
    <w:p w14:paraId="136D632C" w14:textId="107A87DD" w:rsidR="00CB74CB" w:rsidRPr="00415E47" w:rsidRDefault="00415E47">
      <w:pPr>
        <w:rPr>
          <w:b/>
          <w:bCs/>
          <w:sz w:val="28"/>
          <w:szCs w:val="28"/>
        </w:rPr>
      </w:pPr>
      <w:r>
        <w:rPr>
          <w:b/>
          <w:bCs/>
          <w:sz w:val="28"/>
          <w:szCs w:val="28"/>
        </w:rPr>
        <w:t xml:space="preserve">2.3.1 </w:t>
      </w:r>
      <w:r w:rsidR="00CB74CB" w:rsidRPr="00415E47">
        <w:rPr>
          <w:b/>
          <w:bCs/>
          <w:sz w:val="28"/>
          <w:szCs w:val="28"/>
        </w:rPr>
        <w:t>Birds as bioindicators</w:t>
      </w:r>
    </w:p>
    <w:p w14:paraId="45F362A4" w14:textId="0172CD03" w:rsidR="00A37F60" w:rsidRDefault="00B02494" w:rsidP="00850509">
      <w:pPr>
        <w:autoSpaceDE w:val="0"/>
        <w:autoSpaceDN w:val="0"/>
        <w:adjustRightInd w:val="0"/>
        <w:spacing w:after="0" w:line="240" w:lineRule="auto"/>
        <w:rPr>
          <w:sz w:val="24"/>
          <w:szCs w:val="24"/>
        </w:rPr>
      </w:pPr>
      <w:r>
        <w:rPr>
          <w:sz w:val="24"/>
          <w:szCs w:val="24"/>
        </w:rPr>
        <w:t>An ecosystem’s health is based on a variety of factors</w:t>
      </w:r>
      <w:r w:rsidR="00254B91">
        <w:rPr>
          <w:sz w:val="24"/>
          <w:szCs w:val="24"/>
        </w:rPr>
        <w:t xml:space="preserve">, many of which may be difficult to monitor. However, there are only few factors that can provide an overview of ecosystem health. Birds are perfect organisms to use in this regard as they reflect </w:t>
      </w:r>
      <w:r w:rsidR="00A37F60">
        <w:rPr>
          <w:sz w:val="24"/>
          <w:szCs w:val="24"/>
        </w:rPr>
        <w:t xml:space="preserve">various </w:t>
      </w:r>
      <w:r w:rsidR="00254B91">
        <w:rPr>
          <w:sz w:val="24"/>
          <w:szCs w:val="24"/>
        </w:rPr>
        <w:t>environmental change directly</w:t>
      </w:r>
      <w:r w:rsidR="00850509">
        <w:rPr>
          <w:sz w:val="24"/>
          <w:szCs w:val="24"/>
        </w:rPr>
        <w:t xml:space="preserve"> </w:t>
      </w:r>
      <w:r w:rsidR="00850509">
        <w:rPr>
          <w:sz w:val="24"/>
          <w:szCs w:val="24"/>
        </w:rPr>
        <w:fldChar w:fldCharType="begin"/>
      </w:r>
      <w:r w:rsidR="00850509">
        <w:rPr>
          <w:sz w:val="24"/>
          <w:szCs w:val="24"/>
        </w:rPr>
        <w:instrText xml:space="preserve"> ADDIN ZOTERO_ITEM CSL_CITATION {"citationID":"GDiE0E8O","properties":{"formattedCitation":"(Mekonen, 2017)","plainCitation":"(Mekonen, 2017)","noteIndex":0},"citationItems":[{"id":138,"uris":["http://zotero.org/users/7587894/items/JXCKIYNZ"],"uri":["http://zotero.org/users/7587894/items/JXCKIYNZ"],"itemData":{"id":138,"type":"article-journal","abstract":"Ecosystem monitoring can be carried out by ecological indicators to preserve and manage the natural environment. Since it is impractical to monitor all ecosystem components, a few individual species or groups of species can be used as indicators of wider conditions. Biological components chosen with this aim are called bioindicators. Bioindicators are organisms that are used to monitor the health of the environment, the presence of pollution and its effect on the ecosystem, the progress of environmental cleanup and test substances, and to detect changes in the natural environment,. Bioindicators are also the best tools to measure the progress made on biodiversity conservation, to assess the impacts and threats on biodiversity, to evaluate sustainability use of biodiversity. Birds are excellent bioindicators for the health of the environment and ecological/ environmental change. Generally, birds have been used as indicator species for a range of environmental parameters. They act as biodiversity indicators with a number of reasons. The cause-and-effect link between an environmental change and birds are direct and simple one. Keywords: Biodiversity, Bioindicators, Birds, Environmental change, Environmental healt","source":"core.ac.uk","title":"Birds as Biodiversity and Environmental Indicator","URL":"https://core.ac.uk/reader/234657570","volume":"7","author":[{"family":"Mekonen","given":"Sefi"}],"accessed":{"date-parts":[["2021",10,8]]},"issued":{"date-parts":[["2017"]]}}}],"schema":"https://github.com/citation-style-language/schema/raw/master/csl-citation.json"} </w:instrText>
      </w:r>
      <w:r w:rsidR="00850509">
        <w:rPr>
          <w:sz w:val="24"/>
          <w:szCs w:val="24"/>
        </w:rPr>
        <w:fldChar w:fldCharType="separate"/>
      </w:r>
      <w:r w:rsidR="00850509" w:rsidRPr="00254B91">
        <w:rPr>
          <w:rFonts w:ascii="Calibri" w:hAnsi="Calibri" w:cs="Calibri"/>
          <w:sz w:val="24"/>
        </w:rPr>
        <w:t>(Mekonen, 2017)</w:t>
      </w:r>
      <w:r w:rsidR="00850509">
        <w:rPr>
          <w:sz w:val="24"/>
          <w:szCs w:val="24"/>
        </w:rPr>
        <w:fldChar w:fldCharType="end"/>
      </w:r>
      <w:r w:rsidR="00254B91">
        <w:rPr>
          <w:sz w:val="24"/>
          <w:szCs w:val="24"/>
        </w:rPr>
        <w:t xml:space="preserve">. </w:t>
      </w:r>
      <w:r w:rsidR="00A37F60">
        <w:rPr>
          <w:sz w:val="24"/>
          <w:szCs w:val="24"/>
        </w:rPr>
        <w:t xml:space="preserve"> According to </w:t>
      </w:r>
      <w:r w:rsidR="00A37F60">
        <w:rPr>
          <w:sz w:val="24"/>
          <w:szCs w:val="24"/>
        </w:rPr>
        <w:fldChar w:fldCharType="begin"/>
      </w:r>
      <w:r w:rsidR="00A37F60">
        <w:rPr>
          <w:sz w:val="24"/>
          <w:szCs w:val="24"/>
        </w:rPr>
        <w:instrText xml:space="preserve"> ADDIN ZOTERO_ITEM CSL_CITATION {"citationID":"MbyWCxtI","properties":{"custom":"Gregory et al. (2003)","formattedCitation":"Gregory et al. (2003)","plainCitation":"Gregory et al. (2003)","noteIndex":0},"citationItems":[{"id":18,"uris":["http://zotero.org/users/7587894/items/UKBLLTJX"],"uri":["http://zotero.org/users/7587894/items/UKBLLTJX"],"itemData":{"id":18,"type":"article-journal","container-title":"ORNIS HUNGARICA","language":"en","page":"14","source":"Zotero","title":"Using birds as indicators of biodiversity","author":[{"family":"Gregory","given":"R D"},{"family":"Noble","given":"D"},{"family":"Field","given":"R"},{"family":"Marchant","given":"J"},{"family":"Raven","given":"M"},{"family":"Gibbons","given":"D W"}],"issued":{"date-parts":[["2003"]]}}}],"schema":"https://github.com/citation-style-language/schema/raw/master/csl-citation.json"} </w:instrText>
      </w:r>
      <w:r w:rsidR="00A37F60">
        <w:rPr>
          <w:sz w:val="24"/>
          <w:szCs w:val="24"/>
        </w:rPr>
        <w:fldChar w:fldCharType="separate"/>
      </w:r>
      <w:r w:rsidR="00A37F60" w:rsidRPr="00CD43AA">
        <w:rPr>
          <w:rFonts w:ascii="Calibri" w:hAnsi="Calibri" w:cs="Calibri"/>
          <w:sz w:val="24"/>
        </w:rPr>
        <w:t>Gregory et al. (2003)</w:t>
      </w:r>
      <w:r w:rsidR="00A37F60">
        <w:rPr>
          <w:sz w:val="24"/>
          <w:szCs w:val="24"/>
        </w:rPr>
        <w:fldChar w:fldCharType="end"/>
      </w:r>
      <w:r w:rsidR="00A37F60">
        <w:rPr>
          <w:sz w:val="24"/>
          <w:szCs w:val="24"/>
        </w:rPr>
        <w:t xml:space="preserve">, </w:t>
      </w:r>
      <w:r w:rsidR="00A37F60" w:rsidRPr="00CD43AA">
        <w:rPr>
          <w:sz w:val="24"/>
          <w:szCs w:val="24"/>
        </w:rPr>
        <w:t>Effective bioindicators are quantitative, easy to collect, simple to interpret, reflects causes of change in an ecosystem and indicates general patterns of taxa in the ecosystem</w:t>
      </w:r>
      <w:r w:rsidR="00A37F60">
        <w:rPr>
          <w:sz w:val="24"/>
          <w:szCs w:val="24"/>
        </w:rPr>
        <w:t xml:space="preserve">. Bird count data fits this well. As bird counts are relatively easy to collect (and readily available), quantitative, simple to interpret and they reflect many different changes in an ecosystem. </w:t>
      </w:r>
    </w:p>
    <w:p w14:paraId="3E33129B" w14:textId="77777777" w:rsidR="00A37F60" w:rsidRDefault="00A37F60" w:rsidP="00850509">
      <w:pPr>
        <w:autoSpaceDE w:val="0"/>
        <w:autoSpaceDN w:val="0"/>
        <w:adjustRightInd w:val="0"/>
        <w:spacing w:after="0" w:line="240" w:lineRule="auto"/>
        <w:rPr>
          <w:sz w:val="24"/>
          <w:szCs w:val="24"/>
        </w:rPr>
      </w:pPr>
    </w:p>
    <w:p w14:paraId="447E0B2A" w14:textId="0CCFC551" w:rsidR="00CD43AA" w:rsidRDefault="00A37F60" w:rsidP="00850509">
      <w:pPr>
        <w:autoSpaceDE w:val="0"/>
        <w:autoSpaceDN w:val="0"/>
        <w:adjustRightInd w:val="0"/>
        <w:spacing w:after="0" w:line="240" w:lineRule="auto"/>
        <w:rPr>
          <w:sz w:val="24"/>
          <w:szCs w:val="24"/>
        </w:rPr>
      </w:pPr>
      <w:r>
        <w:rPr>
          <w:sz w:val="24"/>
          <w:szCs w:val="24"/>
        </w:rPr>
        <w:t>B</w:t>
      </w:r>
      <w:r w:rsidR="00850509">
        <w:rPr>
          <w:sz w:val="24"/>
          <w:szCs w:val="24"/>
        </w:rPr>
        <w:t xml:space="preserve">irds have been used to indicate the eutrophication levels in wetlands in </w:t>
      </w:r>
      <w:r w:rsidR="00850509" w:rsidRPr="00850509">
        <w:rPr>
          <w:sz w:val="24"/>
          <w:szCs w:val="24"/>
        </w:rPr>
        <w:t>the</w:t>
      </w:r>
      <w:r w:rsidR="00850509">
        <w:rPr>
          <w:sz w:val="24"/>
          <w:szCs w:val="24"/>
        </w:rPr>
        <w:t xml:space="preserve"> </w:t>
      </w:r>
      <w:r w:rsidR="00850509" w:rsidRPr="00850509">
        <w:rPr>
          <w:sz w:val="24"/>
          <w:szCs w:val="24"/>
        </w:rPr>
        <w:t xml:space="preserve">Mar </w:t>
      </w:r>
      <w:proofErr w:type="spellStart"/>
      <w:r w:rsidR="00850509" w:rsidRPr="00850509">
        <w:rPr>
          <w:sz w:val="24"/>
          <w:szCs w:val="24"/>
        </w:rPr>
        <w:t>Menor</w:t>
      </w:r>
      <w:proofErr w:type="spellEnd"/>
      <w:r w:rsidR="00850509" w:rsidRPr="00850509">
        <w:rPr>
          <w:sz w:val="24"/>
          <w:szCs w:val="24"/>
        </w:rPr>
        <w:t xml:space="preserve"> lagoon of south-eastern Spain</w:t>
      </w:r>
      <w:r w:rsidR="00850509">
        <w:rPr>
          <w:sz w:val="24"/>
          <w:szCs w:val="24"/>
        </w:rPr>
        <w:t xml:space="preserve"> </w:t>
      </w:r>
      <w:r w:rsidR="00850509">
        <w:rPr>
          <w:sz w:val="24"/>
          <w:szCs w:val="24"/>
        </w:rPr>
        <w:fldChar w:fldCharType="begin"/>
      </w:r>
      <w:r w:rsidR="006E1EBA">
        <w:rPr>
          <w:sz w:val="24"/>
          <w:szCs w:val="24"/>
        </w:rPr>
        <w:instrText xml:space="preserve"> ADDIN ZOTERO_ITEM CSL_CITATION {"citationID":"fkf4nL1Q","properties":{"formattedCitation":"(Amat &amp; Green, 2010)","plainCitation":"(Amat &amp; Green, 2010)","noteIndex":0},"citationItems":[{"id":31,"uris":["http://zotero.org/users/7587894/items/5Y62779S"],"uri":["http://zotero.org/users/7587894/items/5Y62779S"],"itemData":{"id":31,"type":"chapter","abstract":"We give examples of how waterbirds can be valuable indicators of changes in aquatic systems. Eutrophication is a widespread problem that can increase the food supply for some birds and hence increase their population size (e.g. great-crested grebes). Many birds are sensitive to changes in water depth, and some can decline due to siltation of shallow lakes (e.g. red-knobbed coot) or when low rainfall leads temporary wetlands to dry out (e.g. greater flamingos). The species-richness of the waterbird community is a less reliable indicator than trends for a given species, and has a weak relationship with the richness of other aquatic communities. As well as indicating changes in conditions, waterbirds can also cause them when they reach high densities, e.g. when colonial birds import nutrients from elsewhere or when geese cause overgrazing. When using waterbirds as indicators, a thorough knowledge of their ecology and clear objectives for the monitoring programme are essential.","container-title":"Conservation Monitoring in Freshwater Habitats: A Practical Guide and Case Studies","event-place":"Dordrecht","ISBN":"978-1-4020-9278-7","language":"en","note":"DOI: 10.1007/978-1-4020-9278-7_5","page":"45-52","publisher":"Springer Netherlands","publisher-place":"Dordrecht","source":"Springer Link","title":"Waterbirds as Bioindicators of Environmental Conditions","URL":"https://doi.org/10.1007/978-1-4020-9278-7_5","author":[{"family":"Amat","given":"Juan A."},{"family":"Green","given":"Andy J."}],"editor":[{"family":"Hurford","given":"Clive"},{"family":"Schneider","given":"Michael"},{"family":"Cowx","given":"Ian"}],"accessed":{"date-parts":[["2021",2,26]]},"issued":{"date-parts":[["2010"]]}}}],"schema":"https://github.com/citation-style-language/schema/raw/master/csl-citation.json"} </w:instrText>
      </w:r>
      <w:r w:rsidR="00850509">
        <w:rPr>
          <w:sz w:val="24"/>
          <w:szCs w:val="24"/>
        </w:rPr>
        <w:fldChar w:fldCharType="separate"/>
      </w:r>
      <w:r w:rsidR="006E1EBA" w:rsidRPr="006E1EBA">
        <w:rPr>
          <w:rFonts w:ascii="Calibri" w:hAnsi="Calibri" w:cs="Calibri"/>
          <w:sz w:val="24"/>
        </w:rPr>
        <w:t>(Amat &amp; Green, 2010)</w:t>
      </w:r>
      <w:r w:rsidR="00850509">
        <w:rPr>
          <w:sz w:val="24"/>
          <w:szCs w:val="24"/>
        </w:rPr>
        <w:fldChar w:fldCharType="end"/>
      </w:r>
      <w:r w:rsidR="00850509">
        <w:rPr>
          <w:sz w:val="24"/>
          <w:szCs w:val="24"/>
        </w:rPr>
        <w:t xml:space="preserve">. It was discovered that the Great Crested Grebe abundance increased as the eutrophication levels in the lagoon increased. The increase in eutrophication was a result of nutrient run-off from nearby agricultural practices. </w:t>
      </w:r>
      <w:r w:rsidR="006E1EBA">
        <w:rPr>
          <w:sz w:val="24"/>
          <w:szCs w:val="24"/>
        </w:rPr>
        <w:t>Another example from Southern Spain shows the use of Red-Knobbed Coots to indicate the siltation rate in the water and soil in wetlands. The Red-Knobbed Coot experienced a stark decline in abundance in the 20</w:t>
      </w:r>
      <w:r w:rsidR="006E1EBA" w:rsidRPr="006E1EBA">
        <w:rPr>
          <w:sz w:val="24"/>
          <w:szCs w:val="24"/>
          <w:vertAlign w:val="superscript"/>
        </w:rPr>
        <w:t>th</w:t>
      </w:r>
      <w:r w:rsidR="006E1EBA">
        <w:rPr>
          <w:sz w:val="24"/>
          <w:szCs w:val="24"/>
        </w:rPr>
        <w:t xml:space="preserve"> century in Southern Spain. This decrease in abundance is attributed to the increased siltation rates in the water and soil in the wetlands in Southern Spain</w:t>
      </w:r>
      <w:r>
        <w:rPr>
          <w:sz w:val="24"/>
          <w:szCs w:val="24"/>
        </w:rPr>
        <w:t>.</w:t>
      </w:r>
      <w:r w:rsidR="006E1EBA">
        <w:rPr>
          <w:sz w:val="24"/>
          <w:szCs w:val="24"/>
        </w:rPr>
        <w:t xml:space="preserve"> </w:t>
      </w:r>
      <w:r>
        <w:rPr>
          <w:sz w:val="24"/>
          <w:szCs w:val="24"/>
        </w:rPr>
        <w:t>C</w:t>
      </w:r>
      <w:r w:rsidR="006E1EBA">
        <w:rPr>
          <w:sz w:val="24"/>
          <w:szCs w:val="24"/>
        </w:rPr>
        <w:t xml:space="preserve">aused by invasive agricultural practices. The increased rates of siltation negatively affected the quality of food for the Coots in their </w:t>
      </w:r>
      <w:r>
        <w:rPr>
          <w:sz w:val="24"/>
          <w:szCs w:val="24"/>
        </w:rPr>
        <w:t>wetlands,</w:t>
      </w:r>
      <w:r w:rsidR="006E1EBA">
        <w:rPr>
          <w:sz w:val="24"/>
          <w:szCs w:val="24"/>
        </w:rPr>
        <w:t xml:space="preserve"> and thus lead to their demise. Thus, the Red-Knobbed Coots population over time could be indicative of siltation rates in the wetlands in which they are based. These are only two examples of how effective waterbirds are </w:t>
      </w:r>
      <w:r>
        <w:rPr>
          <w:sz w:val="24"/>
          <w:szCs w:val="24"/>
        </w:rPr>
        <w:t>as</w:t>
      </w:r>
      <w:r w:rsidR="006E1EBA">
        <w:rPr>
          <w:sz w:val="24"/>
          <w:szCs w:val="24"/>
        </w:rPr>
        <w:t xml:space="preserve"> bioindicators. Other examples show how waterbirds can be indicators for changes in water level in a wetland</w:t>
      </w:r>
      <w:r w:rsidR="00CD43AA">
        <w:rPr>
          <w:sz w:val="24"/>
          <w:szCs w:val="24"/>
        </w:rPr>
        <w:t xml:space="preserve"> </w:t>
      </w:r>
      <w:r>
        <w:rPr>
          <w:sz w:val="24"/>
          <w:szCs w:val="24"/>
        </w:rPr>
        <w:fldChar w:fldCharType="begin"/>
      </w:r>
      <w:r>
        <w:rPr>
          <w:sz w:val="24"/>
          <w:szCs w:val="24"/>
        </w:rPr>
        <w:instrText xml:space="preserve"> ADDIN ZOTERO_ITEM CSL_CITATION {"citationID":"R6zixLx3","properties":{"formattedCitation":"(Burgess, 1969)","plainCitation":"(Burgess, 1969)","noteIndex":0},"citationItems":[{"id":46,"uris":["http://zotero.org/users/7587894/items/UPITRKME"],"uri":["http://zotero.org/users/7587894/items/UPITRKME"],"itemData":{"id":46,"type":"article-journal","abstract":"Waterfowl use varied from 6 million to 27 million duck-days and from 7 million to 19 million goose-days annually at Squaw Creek National Wildlife Refuge during the period 1958-1967. Changes in waterfowl use were related to changes in habitat management and the resulting ecological succession. In general, annual use by ducks increased when the largest expanses of renewed marshes were flooded. Annual use by geese increased when the largest acreages of renewed marshes and succulent green browse were available.","container-title":"The Journal of Wildlife Management","DOI":"10.2307/3799315","ISSN":"0022-541X","issue":"4","note":"publisher: [Wiley, Wildlife Society]","page":"843-847","source":"JSTOR","title":"Habitat Management on a Mid-Continent Waterfowl Refuge","volume":"33","author":[{"family":"Burgess","given":"Harold H."}],"issued":{"date-parts":[["1969"]]}}}],"schema":"https://github.com/citation-style-language/schema/raw/master/csl-citation.json"} </w:instrText>
      </w:r>
      <w:r>
        <w:rPr>
          <w:sz w:val="24"/>
          <w:szCs w:val="24"/>
        </w:rPr>
        <w:fldChar w:fldCharType="separate"/>
      </w:r>
      <w:r w:rsidRPr="00A37F60">
        <w:rPr>
          <w:rFonts w:ascii="Calibri" w:hAnsi="Calibri" w:cs="Calibri"/>
          <w:sz w:val="24"/>
        </w:rPr>
        <w:t>(Burgess, 1969)</w:t>
      </w:r>
      <w:r>
        <w:rPr>
          <w:sz w:val="24"/>
          <w:szCs w:val="24"/>
        </w:rPr>
        <w:fldChar w:fldCharType="end"/>
      </w:r>
      <w:r>
        <w:rPr>
          <w:sz w:val="24"/>
          <w:szCs w:val="24"/>
        </w:rPr>
        <w:t xml:space="preserve"> </w:t>
      </w:r>
      <w:r w:rsidR="00CD43AA">
        <w:rPr>
          <w:sz w:val="24"/>
          <w:szCs w:val="24"/>
        </w:rPr>
        <w:t xml:space="preserve">and species abundance at lower trophic levels </w:t>
      </w:r>
      <w:r w:rsidR="00CD43AA">
        <w:rPr>
          <w:sz w:val="24"/>
          <w:szCs w:val="24"/>
        </w:rPr>
        <w:fldChar w:fldCharType="begin"/>
      </w:r>
      <w:r w:rsidR="00CD43AA">
        <w:rPr>
          <w:sz w:val="24"/>
          <w:szCs w:val="24"/>
        </w:rPr>
        <w:instrText xml:space="preserve"> ADDIN ZOTERO_ITEM CSL_CITATION {"citationID":"kR5Itnxf","properties":{"formattedCitation":"(Mekonen, 2017)","plainCitation":"(Mekonen, 2017)","noteIndex":0},"citationItems":[{"id":138,"uris":["http://zotero.org/users/7587894/items/JXCKIYNZ"],"uri":["http://zotero.org/users/7587894/items/JXCKIYNZ"],"itemData":{"id":138,"type":"article-journal","abstract":"Ecosystem monitoring can be carried out by ecological indicators to preserve and manage the natural environment. Since it is impractical to monitor all ecosystem components, a few individual species or groups of species can be used as indicators of wider conditions. Biological components chosen with this aim are called bioindicators. Bioindicators are organisms that are used to monitor the health of the environment, the presence of pollution and its effect on the ecosystem, the progress of environmental cleanup and test substances, and to detect changes in the natural environment,. Bioindicators are also the best tools to measure the progress made on biodiversity conservation, to assess the impacts and threats on biodiversity, to evaluate sustainability use of biodiversity. Birds are excellent bioindicators for the health of the environment and ecological/ environmental change. Generally, birds have been used as indicator species for a range of environmental parameters. They act as biodiversity indicators with a number of reasons. The cause-and-effect link between an environmental change and birds are direct and simple one. Keywords: Biodiversity, Bioindicators, Birds, Environmental change, Environmental healt","source":"core.ac.uk","title":"Birds as Biodiversity and Environmental Indicator","URL":"https://core.ac.uk/reader/234657570","volume":"7","author":[{"family":"Mekonen","given":"Sefi"}],"accessed":{"date-parts":[["2021",10,8]]},"issued":{"date-parts":[["2017"]]}}}],"schema":"https://github.com/citation-style-language/schema/raw/master/csl-citation.json"} </w:instrText>
      </w:r>
      <w:r w:rsidR="00CD43AA">
        <w:rPr>
          <w:sz w:val="24"/>
          <w:szCs w:val="24"/>
        </w:rPr>
        <w:fldChar w:fldCharType="separate"/>
      </w:r>
      <w:r w:rsidR="00CD43AA" w:rsidRPr="00CD43AA">
        <w:rPr>
          <w:rFonts w:ascii="Calibri" w:hAnsi="Calibri" w:cs="Calibri"/>
          <w:sz w:val="24"/>
        </w:rPr>
        <w:t>(Mekonen, 2017)</w:t>
      </w:r>
      <w:r w:rsidR="00CD43AA">
        <w:rPr>
          <w:sz w:val="24"/>
          <w:szCs w:val="24"/>
        </w:rPr>
        <w:fldChar w:fldCharType="end"/>
      </w:r>
      <w:r w:rsidR="00CD43AA">
        <w:rPr>
          <w:sz w:val="24"/>
          <w:szCs w:val="24"/>
        </w:rPr>
        <w:t>.</w:t>
      </w:r>
    </w:p>
    <w:p w14:paraId="54870E82" w14:textId="2F59E9EB" w:rsidR="00CD43AA" w:rsidRDefault="00CD43AA" w:rsidP="00850509">
      <w:pPr>
        <w:autoSpaceDE w:val="0"/>
        <w:autoSpaceDN w:val="0"/>
        <w:adjustRightInd w:val="0"/>
        <w:spacing w:after="0" w:line="240" w:lineRule="auto"/>
        <w:rPr>
          <w:sz w:val="24"/>
          <w:szCs w:val="24"/>
        </w:rPr>
      </w:pPr>
    </w:p>
    <w:p w14:paraId="276FA787" w14:textId="4F448DC7" w:rsidR="00977BC9" w:rsidRDefault="00977BC9" w:rsidP="00850509">
      <w:pPr>
        <w:autoSpaceDE w:val="0"/>
        <w:autoSpaceDN w:val="0"/>
        <w:adjustRightInd w:val="0"/>
        <w:spacing w:after="0" w:line="240" w:lineRule="auto"/>
        <w:rPr>
          <w:sz w:val="24"/>
          <w:szCs w:val="24"/>
        </w:rPr>
      </w:pPr>
      <w:r>
        <w:rPr>
          <w:sz w:val="24"/>
          <w:szCs w:val="24"/>
        </w:rPr>
        <w:t xml:space="preserve">An important aspect of ecosystem health is biodiversity. </w:t>
      </w:r>
      <w:r w:rsidRPr="00977BC9">
        <w:rPr>
          <w:sz w:val="24"/>
          <w:szCs w:val="24"/>
        </w:rPr>
        <w:t xml:space="preserve">Rich biodiversity is indicative of a healthy ecosystem. Each species has their part to play in the ecosystem with varying degrees of importance. Tracking biodiversity in an ecosystem can also indicate the presence of invasive species </w:t>
      </w:r>
      <w:r w:rsidR="005637C2">
        <w:rPr>
          <w:sz w:val="24"/>
          <w:szCs w:val="24"/>
        </w:rPr>
        <w:fldChar w:fldCharType="begin"/>
      </w:r>
      <w:r w:rsidR="005637C2">
        <w:rPr>
          <w:sz w:val="24"/>
          <w:szCs w:val="24"/>
        </w:rPr>
        <w:instrText xml:space="preserve"> ADDIN ZOTERO_ITEM CSL_CITATION {"citationID":"hftit6z7","properties":{"formattedCitation":"(Hooper et al., 2005)","plainCitation":"(Hooper et al., 2005)","noteIndex":0},"citationItems":[{"id":34,"uris":["http://zotero.org/users/7587894/items/4QUXAR33"],"uri":["http://zotero.org/users/7587894/items/4QUXAR33"],"itemData":{"id":34,"type":"article-journal","abstract":"Humans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Monographs","DOI":"https://doi.org/10.1890/04-0922","ISSN":"1557-7015","issue":"1","language":"en","note":"_eprint: https://esajournals.onlinelibrary.wiley.com/doi/pdf/10.1890/04-0922","page":"3-35","source":"Wiley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A."}],"issued":{"date-parts":[["2005"]]}}}],"schema":"https://github.com/citation-style-language/schema/raw/master/csl-citation.json"} </w:instrText>
      </w:r>
      <w:r w:rsidR="005637C2">
        <w:rPr>
          <w:sz w:val="24"/>
          <w:szCs w:val="24"/>
        </w:rPr>
        <w:fldChar w:fldCharType="separate"/>
      </w:r>
      <w:r w:rsidR="005637C2" w:rsidRPr="005637C2">
        <w:rPr>
          <w:rFonts w:ascii="Calibri" w:hAnsi="Calibri" w:cs="Calibri"/>
          <w:sz w:val="24"/>
        </w:rPr>
        <w:t>(Hooper et al., 2005)</w:t>
      </w:r>
      <w:r w:rsidR="005637C2">
        <w:rPr>
          <w:sz w:val="24"/>
          <w:szCs w:val="24"/>
        </w:rPr>
        <w:fldChar w:fldCharType="end"/>
      </w:r>
      <w:r w:rsidRPr="00977BC9">
        <w:rPr>
          <w:sz w:val="24"/>
          <w:szCs w:val="24"/>
        </w:rPr>
        <w:t>. A biodiversity indicator is therefore essential in tracking the overall health of a wetland ecosystem.</w:t>
      </w:r>
      <w:r w:rsidR="005637C2">
        <w:rPr>
          <w:sz w:val="24"/>
          <w:szCs w:val="24"/>
        </w:rPr>
        <w:t xml:space="preserve"> Thus, for the purposes of indicating wetland health, it’s important to have bioindicators that are indicative of the waterbird’s population over time and their biodiversity over time. These factors can be used by wetland conservation decision makers to determine various aspects of wetland health. It can also be used by waterbird conservationists to identify the stability of waterbird species in South Africa.</w:t>
      </w:r>
    </w:p>
    <w:p w14:paraId="2CB5DC4C" w14:textId="77777777" w:rsidR="005637C2" w:rsidRDefault="005637C2" w:rsidP="005637C2">
      <w:pPr>
        <w:autoSpaceDE w:val="0"/>
        <w:autoSpaceDN w:val="0"/>
        <w:adjustRightInd w:val="0"/>
        <w:spacing w:after="0" w:line="240" w:lineRule="auto"/>
        <w:rPr>
          <w:sz w:val="24"/>
          <w:szCs w:val="24"/>
        </w:rPr>
      </w:pPr>
    </w:p>
    <w:p w14:paraId="381525DA" w14:textId="77777777" w:rsidR="00D07438" w:rsidRDefault="00D07438" w:rsidP="005637C2">
      <w:pPr>
        <w:autoSpaceDE w:val="0"/>
        <w:autoSpaceDN w:val="0"/>
        <w:adjustRightInd w:val="0"/>
        <w:spacing w:after="0" w:line="240" w:lineRule="auto"/>
        <w:rPr>
          <w:b/>
          <w:bCs/>
          <w:sz w:val="28"/>
          <w:szCs w:val="28"/>
        </w:rPr>
      </w:pPr>
    </w:p>
    <w:p w14:paraId="7C225A55" w14:textId="77777777" w:rsidR="00D07438" w:rsidRDefault="00D07438" w:rsidP="005637C2">
      <w:pPr>
        <w:autoSpaceDE w:val="0"/>
        <w:autoSpaceDN w:val="0"/>
        <w:adjustRightInd w:val="0"/>
        <w:spacing w:after="0" w:line="240" w:lineRule="auto"/>
        <w:rPr>
          <w:b/>
          <w:bCs/>
          <w:sz w:val="28"/>
          <w:szCs w:val="28"/>
        </w:rPr>
      </w:pPr>
    </w:p>
    <w:p w14:paraId="4012FCAB" w14:textId="77777777" w:rsidR="00D07438" w:rsidRDefault="00D07438" w:rsidP="005637C2">
      <w:pPr>
        <w:autoSpaceDE w:val="0"/>
        <w:autoSpaceDN w:val="0"/>
        <w:adjustRightInd w:val="0"/>
        <w:spacing w:after="0" w:line="240" w:lineRule="auto"/>
        <w:rPr>
          <w:b/>
          <w:bCs/>
          <w:sz w:val="28"/>
          <w:szCs w:val="28"/>
        </w:rPr>
      </w:pPr>
    </w:p>
    <w:p w14:paraId="48788B03" w14:textId="4CF07706" w:rsidR="005637C2" w:rsidRDefault="00415E47" w:rsidP="005637C2">
      <w:pPr>
        <w:autoSpaceDE w:val="0"/>
        <w:autoSpaceDN w:val="0"/>
        <w:adjustRightInd w:val="0"/>
        <w:spacing w:after="0" w:line="240" w:lineRule="auto"/>
        <w:rPr>
          <w:b/>
          <w:bCs/>
          <w:sz w:val="28"/>
          <w:szCs w:val="28"/>
        </w:rPr>
      </w:pPr>
      <w:r>
        <w:rPr>
          <w:b/>
          <w:bCs/>
          <w:sz w:val="28"/>
          <w:szCs w:val="28"/>
        </w:rPr>
        <w:lastRenderedPageBreak/>
        <w:t xml:space="preserve">2.3.2 </w:t>
      </w:r>
      <w:r w:rsidR="005637C2" w:rsidRPr="005637C2">
        <w:rPr>
          <w:b/>
          <w:bCs/>
          <w:sz w:val="28"/>
          <w:szCs w:val="28"/>
        </w:rPr>
        <w:t>Biodiversity Indicators</w:t>
      </w:r>
    </w:p>
    <w:p w14:paraId="42CBD817" w14:textId="41AC647A" w:rsidR="005637C2" w:rsidRDefault="005637C2" w:rsidP="005637C2">
      <w:pPr>
        <w:autoSpaceDE w:val="0"/>
        <w:autoSpaceDN w:val="0"/>
        <w:adjustRightInd w:val="0"/>
        <w:spacing w:after="0" w:line="240" w:lineRule="auto"/>
        <w:rPr>
          <w:sz w:val="24"/>
          <w:szCs w:val="24"/>
        </w:rPr>
      </w:pPr>
    </w:p>
    <w:p w14:paraId="75F653FF" w14:textId="1C4443E5" w:rsidR="00EA6D63" w:rsidRDefault="00492688">
      <w:pPr>
        <w:rPr>
          <w:sz w:val="24"/>
          <w:szCs w:val="24"/>
        </w:rPr>
      </w:pPr>
      <w:r>
        <w:rPr>
          <w:sz w:val="24"/>
          <w:szCs w:val="24"/>
        </w:rPr>
        <w:t xml:space="preserve">There are multiple different ways one can formulate biodiversity indices. The first, and main task, </w:t>
      </w:r>
      <w:r w:rsidR="00C471F1">
        <w:rPr>
          <w:sz w:val="24"/>
          <w:szCs w:val="24"/>
        </w:rPr>
        <w:t xml:space="preserve">however, </w:t>
      </w:r>
      <w:r>
        <w:rPr>
          <w:sz w:val="24"/>
          <w:szCs w:val="24"/>
        </w:rPr>
        <w:t xml:space="preserve">is to identify what </w:t>
      </w:r>
      <w:r w:rsidR="00C471F1">
        <w:rPr>
          <w:sz w:val="24"/>
          <w:szCs w:val="24"/>
        </w:rPr>
        <w:t xml:space="preserve">must be monitored </w:t>
      </w:r>
      <w:r>
        <w:rPr>
          <w:sz w:val="24"/>
          <w:szCs w:val="24"/>
        </w:rPr>
        <w:t xml:space="preserve">and how </w:t>
      </w:r>
      <w:r>
        <w:rPr>
          <w:sz w:val="24"/>
          <w:szCs w:val="24"/>
        </w:rPr>
        <w:fldChar w:fldCharType="begin"/>
      </w:r>
      <w:r>
        <w:rPr>
          <w:sz w:val="24"/>
          <w:szCs w:val="24"/>
        </w:rPr>
        <w:instrText xml:space="preserve"> ADDIN ZOTERO_ITEM CSL_CITATION {"citationID":"oq1VUHDv","properties":{"formattedCitation":"(Yoccoz et al., 2001)","plainCitation":"(Yoccoz et al., 2001)","noteIndex":0},"citationItems":[{"id":141,"uris":["http://zotero.org/users/7587894/items/5VXR2JIZ"],"uri":["http://zotero.org/users/7587894/items/5VXR2JIZ"],"itemData":{"id":141,"type":"article-journal","abstract":"Monitoring programmes are being used increasingly to assess spatial and temporal trends of biological diversity, with an emphasis on evaluating the efficiency of management policies. Recent reviews of the existing programmes, with a focus on their design in particular, have highlighted the main weaknesses: the lack of well-articulated objectives and the neglect of different sources of error in the estimation of biological diversity. We review recent developments in methods and designs that aim to integrate sources of error to provide unbiased estimates of change in biological diversity and to suggest the potential causes.","container-title":"Trends in Ecology &amp; Evolution","DOI":"10.1016/S0169-5347(01)02205-4","ISSN":"0169-5347","issue":"8","journalAbbreviation":"Trends in Ecology &amp; Evolution","language":"en","page":"446-453","source":"ScienceDirect","title":"Monitoring of biological diversity in space and time","volume":"16","author":[{"family":"Yoccoz","given":"Nigel G."},{"family":"Nichols","given":"James D."},{"family":"Boulinier","given":"Thierry"}],"issued":{"date-parts":[["2001",8,1]]}}}],"schema":"https://github.com/citation-style-language/schema/raw/master/csl-citation.json"} </w:instrText>
      </w:r>
      <w:r>
        <w:rPr>
          <w:sz w:val="24"/>
          <w:szCs w:val="24"/>
        </w:rPr>
        <w:fldChar w:fldCharType="separate"/>
      </w:r>
      <w:r w:rsidRPr="00492688">
        <w:rPr>
          <w:rFonts w:ascii="Calibri" w:hAnsi="Calibri" w:cs="Calibri"/>
          <w:sz w:val="24"/>
        </w:rPr>
        <w:t>(Yoccoz et al., 2001)</w:t>
      </w:r>
      <w:r>
        <w:rPr>
          <w:sz w:val="24"/>
          <w:szCs w:val="24"/>
        </w:rPr>
        <w:fldChar w:fldCharType="end"/>
      </w:r>
      <w:r>
        <w:rPr>
          <w:sz w:val="24"/>
          <w:szCs w:val="24"/>
        </w:rPr>
        <w:t xml:space="preserve">. In the South African wetland’s context, one would want to monitor species that represent causal links. This means identifying and monitoring a species that reacts directly to specific environmental changes. In other words, it follows the pressure – state – response causal change </w:t>
      </w:r>
      <w:r>
        <w:rPr>
          <w:sz w:val="24"/>
          <w:szCs w:val="24"/>
        </w:rPr>
        <w:fldChar w:fldCharType="begin"/>
      </w:r>
      <w:r>
        <w:rPr>
          <w:sz w:val="24"/>
          <w:szCs w:val="24"/>
        </w:rPr>
        <w:instrText xml:space="preserve"> ADDIN ZOTERO_ITEM CSL_CITATION {"citationID":"T924To85","properties":{"formattedCitation":"(Niemeijer &amp; de Groot, 2008)","plainCitation":"(Niemeijer &amp; de Groot, 2008)","noteIndex":0},"citationItems":[{"id":20,"uris":["http://zotero.org/users/7587894/items/LUN5H9CC"],"uri":["http://zotero.org/users/7587894/items/LUN5H9CC"],"itemData":{"id":20,"type":"article-journal","abstract":"In recent years, there has been a boom in environmental assessment reports utilizing environmental indicators. Most of these publications are based on the casual chain frameworks (e.g., Pressure–State–Response (PSR), Driving force–State–Response (DSR), and Driving force–Pressure–State–Impact–Response (DPSIR)). These frameworks have made an important contribution by emphasising the importance of causality. However, the reliance on simple uni-directional chains is at the same time not very conducive to a good understanding of the complexity of the processes behind environmental indicators. This limits the usefulness of these frameworks for environmental (impact) assessments. In this paper we propose an enhanced DPSIR (eDPSIR) framework for environmental indicators that takes inter-relations of indicators into account by relying on the use of causal networks rather than causal chains. It will be shown how the concept of causal networks can increase insight into the inter-relation of environmental issues and associated indicators, can facilitate the identiﬁcation of key indicators for particular kinds of questions, and can provide a useful ﬁrst step to the establishment of dose–response functions. Working with causal networks can contribute to more appropriate environmental policies and better management decisions.","container-title":"Environment, Development and Sustainability","DOI":"10.1007/s10668-006-9040-9","ISSN":"1387-585X, 1573-2975","issue":"1","journalAbbreviation":"Environ Dev Sustain","language":"en","page":"89-106","source":"DOI.org (Crossref)","title":"Framing environmental indicators: moving from causal chains to causal networks","title-short":"Framing environmental indicators","volume":"10","author":[{"family":"Niemeijer","given":"David"},{"family":"Groot","given":"Rudolf S.","non-dropping-particle":"de"}],"issued":{"date-parts":[["2008",2]]}}}],"schema":"https://github.com/citation-style-language/schema/raw/master/csl-citation.json"} </w:instrText>
      </w:r>
      <w:r>
        <w:rPr>
          <w:sz w:val="24"/>
          <w:szCs w:val="24"/>
        </w:rPr>
        <w:fldChar w:fldCharType="separate"/>
      </w:r>
      <w:r w:rsidRPr="00492688">
        <w:rPr>
          <w:rFonts w:ascii="Calibri" w:hAnsi="Calibri" w:cs="Calibri"/>
          <w:sz w:val="24"/>
        </w:rPr>
        <w:t>(Niemeijer &amp; de Groot, 2008)</w:t>
      </w:r>
      <w:r>
        <w:rPr>
          <w:sz w:val="24"/>
          <w:szCs w:val="24"/>
        </w:rPr>
        <w:fldChar w:fldCharType="end"/>
      </w:r>
      <w:r>
        <w:rPr>
          <w:sz w:val="24"/>
          <w:szCs w:val="24"/>
        </w:rPr>
        <w:t>.</w:t>
      </w:r>
      <w:r w:rsidR="00C471F1">
        <w:rPr>
          <w:sz w:val="24"/>
          <w:szCs w:val="24"/>
        </w:rPr>
        <w:t xml:space="preserve"> As previously discussed, species like the Great Crested Grebe (eutrophication level indicator) and Red-Knobbed Coots (siltation rate indicator) provide known causal links to environmental changes.</w:t>
      </w:r>
    </w:p>
    <w:p w14:paraId="754D9EEE" w14:textId="7DAEA720" w:rsidR="00415E47" w:rsidRDefault="00834178">
      <w:pPr>
        <w:rPr>
          <w:sz w:val="24"/>
          <w:szCs w:val="24"/>
        </w:rPr>
      </w:pPr>
      <w:r>
        <w:rPr>
          <w:sz w:val="24"/>
          <w:szCs w:val="24"/>
        </w:rPr>
        <w:t xml:space="preserve">According to </w:t>
      </w:r>
      <w:r>
        <w:rPr>
          <w:sz w:val="24"/>
          <w:szCs w:val="24"/>
        </w:rPr>
        <w:fldChar w:fldCharType="begin"/>
      </w:r>
      <w:r>
        <w:rPr>
          <w:sz w:val="24"/>
          <w:szCs w:val="24"/>
        </w:rPr>
        <w:instrText xml:space="preserve"> ADDIN ZOTERO_ITEM CSL_CITATION {"citationID":"fKWR1AA7","properties":{"custom":"Magurran (2013)","formattedCitation":"Magurran (2013)","plainCitation":"Magurran (2013)","noteIndex":0},"citationItems":[{"id":144,"uris":["http://zotero.org/users/7587894/items/ZIRPIUDE"],"uri":["http://zotero.org/users/7587894/items/ZIRPIUDE"],"itemData":{"id":144,"type":"book","abstract":"This accessible and timely book provides a comprehensive overview of how to measure biodiversity. The book highlights new developments, including innovative approaches to measuring taxonomic distinctness and estimating species richness, and evaluates these alongside traditional methods such as species abundance distributions, and diversity and evenness statistics.  Helps the reader quantify and interpret patterns of ecological diversity, focusing on the measurement and estimation of species richness and abundance. Explores the concept of ecological diversity, bringing new perspectives to a field beset by contradictory views and advice. Discussion spans issues such as the meaning of community in the context of ecological diversity, scales of diversity and distribution of diversity among taxa Highlights advances in measurement paying particular attention to new techniques such as species richness estimation, application of measures of diversity to conservation and environmental management and addressing sampling issues Includes worked examples of key methods in helping people to understand the techniques and use available computer packages more effectively","ISBN":"978-1-118-68792-5","language":"en","note":"Google-Books-ID: fIjsaxmL_S8C","number-of-pages":"287","publisher":"John Wiley &amp; Sons","source":"Google Books","title":"Measuring Biological Diversity","author":[{"family":"Magurran","given":"Anne E."}],"issued":{"date-parts":[["2013",4,18]]}}}],"schema":"https://github.com/citation-style-language/schema/raw/master/csl-citation.json"} </w:instrText>
      </w:r>
      <w:r>
        <w:rPr>
          <w:sz w:val="24"/>
          <w:szCs w:val="24"/>
        </w:rPr>
        <w:fldChar w:fldCharType="separate"/>
      </w:r>
      <w:r w:rsidRPr="00834178">
        <w:rPr>
          <w:rFonts w:ascii="Calibri" w:hAnsi="Calibri" w:cs="Calibri"/>
          <w:sz w:val="24"/>
        </w:rPr>
        <w:t>Magurran (2013)</w:t>
      </w:r>
      <w:r>
        <w:rPr>
          <w:sz w:val="24"/>
          <w:szCs w:val="24"/>
        </w:rPr>
        <w:fldChar w:fldCharType="end"/>
      </w:r>
      <w:r>
        <w:rPr>
          <w:sz w:val="24"/>
          <w:szCs w:val="24"/>
        </w:rPr>
        <w:t xml:space="preserve">, biodiversity is the “variety and abundance of species in a defined unit of study”. </w:t>
      </w:r>
      <w:r w:rsidR="00010EA8">
        <w:rPr>
          <w:sz w:val="24"/>
          <w:szCs w:val="24"/>
        </w:rPr>
        <w:fldChar w:fldCharType="begin"/>
      </w:r>
      <w:r w:rsidR="00010EA8">
        <w:rPr>
          <w:sz w:val="24"/>
          <w:szCs w:val="24"/>
        </w:rPr>
        <w:instrText xml:space="preserve"> ADDIN ZOTERO_ITEM CSL_CITATION {"citationID":"71DQkSUz","properties":{"custom":"Buckland et al. (2005)","formattedCitation":"Buckland et al. (2005)","plainCitation":"Buckland et al. (2005)","noteIndex":0},"citationItems":[{"id":147,"uris":["http://zotero.org/users/7587894/items/EDGKIE27"],"uri":["http://zotero.org/users/7587894/items/EDGKIE27"],"itemData":{"id":147,"type":"article-journal","abstract":"The need to monitor trends in biodiversity raises many technical issues. What are the features of a good biodiversity index? How should trends in abundance of individual species be estimated? How should composite indices, possibly spanning very diverse taxa, be formed? At what spatial scale should composite indices be applied? How might change-points—points at which the underlying trend changes—be identified? We address some of the technical issues underlying composite indices, including survey design, weighting of the constituent indices, identification of change-points and estimation of spatially varying time trends. We suggest some criteria that biodiversity measures for use in monitoring surveys should satisfy, and we discuss the problems of implementing rigorous methods. We illustrate the properties of different composite indices using UK farmland bird data. We conclude that no single index can capture all aspects of biodiversity change, but that a modified Shannon index and the geometric mean of relative abundance have useful properties.","container-title":"Philosophical Transactions of the Royal Society B: Biological Sciences","DOI":"10.1098/rstb.2004.1589","ISSN":"0962-8436, 1471-2970","issue":"1454","journalAbbreviation":"Phil. Trans. R. Soc. B","language":"en","page":"243-254","source":"DOI.org (Crossref)","title":"Monitoring change in biodiversity through composite indices","volume":"360","author":[{"family":"Buckland","given":"S.T"},{"family":"Magurran","given":"A.E"},{"family":"Green","given":"R.E"},{"family":"Fewster","given":"R.M"}],"issued":{"date-parts":[["2005",2,28]]}}}],"schema":"https://github.com/citation-style-language/schema/raw/master/csl-citation.json"} </w:instrText>
      </w:r>
      <w:r w:rsidR="00010EA8">
        <w:rPr>
          <w:sz w:val="24"/>
          <w:szCs w:val="24"/>
        </w:rPr>
        <w:fldChar w:fldCharType="separate"/>
      </w:r>
      <w:r w:rsidR="00010EA8" w:rsidRPr="00010EA8">
        <w:rPr>
          <w:rFonts w:ascii="Calibri" w:hAnsi="Calibri" w:cs="Calibri"/>
          <w:sz w:val="24"/>
        </w:rPr>
        <w:t>Buckland et al. (2005)</w:t>
      </w:r>
      <w:r w:rsidR="00010EA8">
        <w:rPr>
          <w:sz w:val="24"/>
          <w:szCs w:val="24"/>
        </w:rPr>
        <w:fldChar w:fldCharType="end"/>
      </w:r>
      <w:r w:rsidR="00010EA8">
        <w:rPr>
          <w:sz w:val="24"/>
          <w:szCs w:val="24"/>
        </w:rPr>
        <w:t xml:space="preserve"> adds one more aspect which is evenness. </w:t>
      </w:r>
      <w:r w:rsidR="00E23962">
        <w:rPr>
          <w:sz w:val="24"/>
          <w:szCs w:val="24"/>
        </w:rPr>
        <w:t xml:space="preserve">Evenness refers to the level </w:t>
      </w:r>
      <w:r w:rsidR="00557FC3">
        <w:rPr>
          <w:sz w:val="24"/>
          <w:szCs w:val="24"/>
        </w:rPr>
        <w:t xml:space="preserve">of </w:t>
      </w:r>
      <w:r w:rsidR="00E23962">
        <w:rPr>
          <w:sz w:val="24"/>
          <w:szCs w:val="24"/>
        </w:rPr>
        <w:t xml:space="preserve">homogeneity of the ecosystem, regarding its species. For example, a wetland with 5 different types of waterbird species with each type containing 100 individuals each would be an exhibitor of perfect evenness. </w:t>
      </w:r>
      <w:r>
        <w:rPr>
          <w:sz w:val="24"/>
          <w:szCs w:val="24"/>
        </w:rPr>
        <w:t>Th</w:t>
      </w:r>
      <w:r w:rsidR="00E23962">
        <w:rPr>
          <w:sz w:val="24"/>
          <w:szCs w:val="24"/>
        </w:rPr>
        <w:t>e research</w:t>
      </w:r>
      <w:r>
        <w:rPr>
          <w:sz w:val="24"/>
          <w:szCs w:val="24"/>
        </w:rPr>
        <w:t xml:space="preserve"> gives rise to two different types of indicators. Ones to monitor the variety of waterbird species in a wetland and one to monitor the abundance of waterbird species in a wetland.</w:t>
      </w:r>
    </w:p>
    <w:p w14:paraId="29C71F35" w14:textId="26A976B6" w:rsidR="00415E47" w:rsidRDefault="00415E47">
      <w:pPr>
        <w:rPr>
          <w:b/>
          <w:bCs/>
          <w:sz w:val="24"/>
          <w:szCs w:val="24"/>
        </w:rPr>
      </w:pPr>
      <w:r>
        <w:rPr>
          <w:b/>
          <w:bCs/>
          <w:sz w:val="24"/>
          <w:szCs w:val="24"/>
        </w:rPr>
        <w:t xml:space="preserve">2.3.2.1 </w:t>
      </w:r>
      <w:r w:rsidRPr="00415E47">
        <w:rPr>
          <w:b/>
          <w:bCs/>
          <w:sz w:val="24"/>
          <w:szCs w:val="24"/>
        </w:rPr>
        <w:t>Abundance Indicators</w:t>
      </w:r>
    </w:p>
    <w:p w14:paraId="1B982943" w14:textId="6BDDFC15" w:rsidR="00600AFF" w:rsidRDefault="000C5580">
      <w:pPr>
        <w:rPr>
          <w:sz w:val="24"/>
          <w:szCs w:val="24"/>
        </w:rPr>
      </w:pPr>
      <w:r>
        <w:rPr>
          <w:sz w:val="24"/>
          <w:szCs w:val="24"/>
        </w:rPr>
        <w:t>There are currently various indicators used, worldwide, that aggregates and measures species trends. These are used to provide an overview of the species health in an ecosystem</w:t>
      </w:r>
      <w:r w:rsidR="00274B72">
        <w:rPr>
          <w:sz w:val="24"/>
          <w:szCs w:val="24"/>
        </w:rPr>
        <w:t xml:space="preserve">. The main index in use, globally, is the Living Planet Index (LPI). There are other similar indices such as the Australian Threatened Species Index (TSX) and the Wild Bird Index (WBI). TSX uses a geometric mean of single species trends to form a composite index. The TSX also has a multispecies index that uses the LPI approach. The WBI </w:t>
      </w:r>
      <w:r w:rsidR="00F22FBD">
        <w:rPr>
          <w:sz w:val="24"/>
          <w:szCs w:val="24"/>
        </w:rPr>
        <w:t xml:space="preserve">also bases its index calculations on the LPI. The only difference being that, while the LPI is applied to any source of sound bird data, </w:t>
      </w:r>
      <w:r w:rsidR="00557FC3">
        <w:rPr>
          <w:sz w:val="24"/>
          <w:szCs w:val="24"/>
        </w:rPr>
        <w:t xml:space="preserve">while </w:t>
      </w:r>
      <w:r w:rsidR="00F22FBD">
        <w:rPr>
          <w:sz w:val="24"/>
          <w:szCs w:val="24"/>
        </w:rPr>
        <w:t>the WBI uses bird data from formally designed surveys only.</w:t>
      </w:r>
      <w:r w:rsidR="00600AFF">
        <w:rPr>
          <w:sz w:val="24"/>
          <w:szCs w:val="24"/>
        </w:rPr>
        <w:t xml:space="preserve"> </w:t>
      </w:r>
    </w:p>
    <w:p w14:paraId="1E8BE0FC" w14:textId="2468C9D9" w:rsidR="000C5580" w:rsidRDefault="000C5580">
      <w:pPr>
        <w:rPr>
          <w:b/>
          <w:bCs/>
          <w:sz w:val="24"/>
          <w:szCs w:val="24"/>
        </w:rPr>
      </w:pPr>
      <w:r w:rsidRPr="000C5580">
        <w:rPr>
          <w:b/>
          <w:bCs/>
          <w:sz w:val="24"/>
          <w:szCs w:val="24"/>
        </w:rPr>
        <w:t>Living Planet Index</w:t>
      </w:r>
    </w:p>
    <w:p w14:paraId="631444F3" w14:textId="6A4453B6" w:rsidR="000C5580" w:rsidRDefault="000C5580">
      <w:pPr>
        <w:rPr>
          <w:sz w:val="24"/>
          <w:szCs w:val="24"/>
        </w:rPr>
      </w:pPr>
      <w:r>
        <w:rPr>
          <w:sz w:val="24"/>
          <w:szCs w:val="24"/>
        </w:rPr>
        <w:t xml:space="preserve">The LPI is the </w:t>
      </w:r>
      <w:r w:rsidR="00B24924">
        <w:rPr>
          <w:sz w:val="24"/>
          <w:szCs w:val="24"/>
        </w:rPr>
        <w:t>most used</w:t>
      </w:r>
      <w:r>
        <w:rPr>
          <w:sz w:val="24"/>
          <w:szCs w:val="24"/>
        </w:rPr>
        <w:t xml:space="preserve"> index that </w:t>
      </w:r>
      <w:r w:rsidR="00B24924">
        <w:rPr>
          <w:sz w:val="24"/>
          <w:szCs w:val="24"/>
        </w:rPr>
        <w:t xml:space="preserve">monitors average vertebrate trends around the world. The LPI project was initiated in 1997 by the WWF and the World Conservation Monitoring Centre. The LPI measures vertebrate trends from as far back as 1970. The LPI uses time-series data from around the world and aims to measure the state of the world’s population trends of vertebrate species. The Index covers the terrestrial, </w:t>
      </w:r>
      <w:proofErr w:type="gramStart"/>
      <w:r w:rsidR="00B24924">
        <w:rPr>
          <w:sz w:val="24"/>
          <w:szCs w:val="24"/>
        </w:rPr>
        <w:t>freshwater</w:t>
      </w:r>
      <w:proofErr w:type="gramEnd"/>
      <w:r w:rsidR="00B24924">
        <w:rPr>
          <w:sz w:val="24"/>
          <w:szCs w:val="24"/>
        </w:rPr>
        <w:t xml:space="preserve"> and marine habitats. The time series data is further broken up into its specific biomes and geographic realms or oceans.</w:t>
      </w:r>
    </w:p>
    <w:p w14:paraId="0DA4F9CB" w14:textId="3A5F1125" w:rsidR="00C564A1" w:rsidRDefault="00B24924">
      <w:pPr>
        <w:rPr>
          <w:sz w:val="24"/>
          <w:szCs w:val="24"/>
        </w:rPr>
      </w:pPr>
      <w:r>
        <w:rPr>
          <w:sz w:val="24"/>
          <w:szCs w:val="24"/>
        </w:rPr>
        <w:t xml:space="preserve">There have been </w:t>
      </w:r>
      <w:r w:rsidR="00C564A1">
        <w:rPr>
          <w:sz w:val="24"/>
          <w:szCs w:val="24"/>
        </w:rPr>
        <w:t>criticisms</w:t>
      </w:r>
      <w:r>
        <w:rPr>
          <w:sz w:val="24"/>
          <w:szCs w:val="24"/>
        </w:rPr>
        <w:t xml:space="preserve"> of the LPI as it tends to over represent birds and mammals and temperate realms</w:t>
      </w:r>
      <w:r w:rsidR="008D3D4C">
        <w:rPr>
          <w:sz w:val="24"/>
          <w:szCs w:val="24"/>
        </w:rPr>
        <w:t xml:space="preserve"> </w:t>
      </w:r>
      <w:r w:rsidR="008D3D4C">
        <w:rPr>
          <w:sz w:val="24"/>
          <w:szCs w:val="24"/>
        </w:rPr>
        <w:fldChar w:fldCharType="begin"/>
      </w:r>
      <w:r w:rsidR="008D3D4C">
        <w:rPr>
          <w:sz w:val="24"/>
          <w:szCs w:val="24"/>
        </w:rPr>
        <w:instrText xml:space="preserve"> ADDIN ZOTERO_ITEM CSL_CITATION {"citationID":"vUnY5fEO","properties":{"formattedCitation":"(Collen et al., 2009)","plainCitation":"(Collen et al., 2009)","noteIndex":0},"citationItems":[{"id":150,"uris":["http://zotero.org/users/7587894/items/JXN977TL"],"uri":["http://zotero.org/users/7587894/items/JXN977TL"],"itemData":{"id":150,"type":"article-journal","abstract":"Abstract: The task of measuring the decline of global biodiversity and instituting changes to halt and reverse this downturn has been taken up in response to the Convention on Biological Diversity's 2010 target. It is an undertaking made more difficult by the complex nature of biodiversity and the consequent difficulty in accurately gauging its depletion. In the Living Planet Index, aggregated population trends among vertebrate species indicate the rate of change in the status of biodiversity, and this index can be used to address the question of whether or not the 2010 target has been achieved. We investigated the use of generalized additive models in aggregating large quantities of population trend data, evaluated potential bias that results from collation of existing trends, and explored the feasibility of disaggregating the data (e.g., geographically, taxonomically, regionally, and by thematic area). Our results show strengths in length and completeness of data, little evidence of bias toward threatened species, and the possibility of disaggregation into meaningful subsets. Limitations of the data set are still apparent, in particular the dominance of bird data and gaps in tropical-species population coverage. Population-trend data complement the longer-term, but more coarse-grained, perspectives gained by evaluating species-level extinction rates. To measure progress toward the 2010 target, indicators must be adapted and strategically supplemented with existing data to generate meaningful indicators in time. Beyond 2010, it is critical a strategy be set out for the future development of indicators that will deal with existing data gaps and that is intricately tied to the goals of future biodiversity targets.","container-title":"Conservation Biology","DOI":"10.1111/j.1523-1739.2008.01117.x","ISSN":"1523-1739","issue":"2","language":"en","note":"_eprint: https://onlinelibrary.wiley.com/doi/pdf/10.1111/j.1523-1739.2008.01117.x","page":"317-327","source":"Wiley Online Library","title":"Monitoring Change in Vertebrate Abundance: the Living Planet Index","title-short":"Monitoring Change in Vertebrate Abundance","volume":"23","author":[{"family":"Collen","given":"Ben"},{"family":"Loh","given":"Jonathan"},{"family":"Whitmee","given":"Sarah"},{"family":"McRAE","given":"Louise"},{"family":"Amin","given":"Rajan"},{"family":"Baillie","given":"Jonathan E. M."}],"issued":{"date-parts":[["2009"]]}}}],"schema":"https://github.com/citation-style-language/schema/raw/master/csl-citation.json"} </w:instrText>
      </w:r>
      <w:r w:rsidR="008D3D4C">
        <w:rPr>
          <w:sz w:val="24"/>
          <w:szCs w:val="24"/>
        </w:rPr>
        <w:fldChar w:fldCharType="separate"/>
      </w:r>
      <w:r w:rsidR="008D3D4C" w:rsidRPr="008D3D4C">
        <w:rPr>
          <w:rFonts w:ascii="Calibri" w:hAnsi="Calibri" w:cs="Calibri"/>
          <w:sz w:val="24"/>
        </w:rPr>
        <w:t>(Collen et al., 2009)</w:t>
      </w:r>
      <w:r w:rsidR="008D3D4C">
        <w:rPr>
          <w:sz w:val="24"/>
          <w:szCs w:val="24"/>
        </w:rPr>
        <w:fldChar w:fldCharType="end"/>
      </w:r>
      <w:r w:rsidR="008D3D4C">
        <w:rPr>
          <w:sz w:val="24"/>
          <w:szCs w:val="24"/>
        </w:rPr>
        <w:t xml:space="preserve">. In response, the LPI was modified to include a proportionally weighted index </w:t>
      </w:r>
      <w:r w:rsidR="008D3D4C">
        <w:rPr>
          <w:sz w:val="24"/>
          <w:szCs w:val="24"/>
        </w:rPr>
        <w:fldChar w:fldCharType="begin"/>
      </w:r>
      <w:r w:rsidR="008D3D4C">
        <w:rPr>
          <w:sz w:val="24"/>
          <w:szCs w:val="24"/>
        </w:rPr>
        <w:instrText xml:space="preserve"> ADDIN ZOTERO_ITEM CSL_CITATION {"citationID":"N7Ooa8G1","properties":{"formattedCitation":"(McRae et al., 2017)","plainCitation":"(McRae et al., 2017)","noteIndex":0},"citationItems":[{"id":37,"uris":["http://zotero.org/users/7587894/items/NW9YF8PG"],"uri":["http://zotero.org/users/7587894/items/NW9YF8PG"],"itemData":{"id":37,"type":"article-journal","abstract":"As threats to species continue to increase, precise and unbiased measures of the impact these pressures are having on global biodiversity are urgently needed. Some existing indicators of the status and trends of biodiversity largely rely on publicly available data from the scientific and grey literature, and are therefore prone to biases introduced through over-representation of well-studied groups and regions in monitoring schemes. This can give misleading estimates of biodiversity trends. Here, we report on an approach to tackle taxonomic and geographic bias in one such indicator (Living Planet Index) by accounting for the estimated number of species within biogeographical realms, and the relative diversity of species within them. Based on a proportionally weighted index, we estimate a global population decline in vertebrate species between 1970 and 2012 of 58% rather than 20% from an index with no proportional weighting. From this data set, comprising 14,152 populations of 3,706 species from 3,095 data sources, we also find that freshwater populations have declined by 81%, marine populations by 36%, and terrestrial populations by 38% when using proportional weighting (compared to trends of -46%, +12% and +15% respectively). These results not only show starker declines than previously estimated, but suggests that those species for which there is poorer data coverage may be declining more rapidly.","container-title":"PLOS ONE","DOI":"10.1371/journal.pone.0169156","ISSN":"1932-6203","issue":"1","journalAbbreviation":"PLOS ONE","language":"en","note":"publisher: Public Library of Science","page":"e0169156","source":"PLoS Journals","title":"The Diversity-Weighted Living Planet Index: Controlling for Taxonomic Bias in a Global Biodiversity Indicator","title-short":"The Diversity-Weighted Living Planet Index","volume":"12","author":[{"family":"McRae","given":"Louise"},{"family":"Deinet","given":"Stefanie"},{"family":"Freeman","given":"Robin"}],"issued":{"date-parts":[["2017",1,3]]}}}],"schema":"https://github.com/citation-style-language/schema/raw/master/csl-citation.json"} </w:instrText>
      </w:r>
      <w:r w:rsidR="008D3D4C">
        <w:rPr>
          <w:sz w:val="24"/>
          <w:szCs w:val="24"/>
        </w:rPr>
        <w:fldChar w:fldCharType="separate"/>
      </w:r>
      <w:r w:rsidR="008D3D4C" w:rsidRPr="008D3D4C">
        <w:rPr>
          <w:rFonts w:ascii="Calibri" w:hAnsi="Calibri" w:cs="Calibri"/>
          <w:sz w:val="24"/>
        </w:rPr>
        <w:t>(McRae et al., 2017)</w:t>
      </w:r>
      <w:r w:rsidR="008D3D4C">
        <w:rPr>
          <w:sz w:val="24"/>
          <w:szCs w:val="24"/>
        </w:rPr>
        <w:fldChar w:fldCharType="end"/>
      </w:r>
      <w:r w:rsidR="008D3D4C">
        <w:rPr>
          <w:sz w:val="24"/>
          <w:szCs w:val="24"/>
        </w:rPr>
        <w:t xml:space="preserve">. The weighted LPI tackles the problem of taxonomic and geographical bias. The weighted LPI is applied to the problem of bias that </w:t>
      </w:r>
      <w:r w:rsidR="00557FC3">
        <w:rPr>
          <w:sz w:val="24"/>
          <w:szCs w:val="24"/>
        </w:rPr>
        <w:t>p</w:t>
      </w:r>
      <w:r w:rsidR="008D3D4C">
        <w:rPr>
          <w:sz w:val="24"/>
          <w:szCs w:val="24"/>
        </w:rPr>
        <w:t xml:space="preserve">resents itself on a global level. </w:t>
      </w:r>
    </w:p>
    <w:p w14:paraId="6C218B9C" w14:textId="77777777" w:rsidR="00557FC3" w:rsidRDefault="00557FC3">
      <w:pPr>
        <w:rPr>
          <w:sz w:val="24"/>
          <w:szCs w:val="24"/>
        </w:rPr>
      </w:pPr>
    </w:p>
    <w:p w14:paraId="42BCD3F1" w14:textId="055449EF" w:rsidR="00B24924" w:rsidRDefault="008D3D4C">
      <w:pPr>
        <w:rPr>
          <w:sz w:val="24"/>
          <w:szCs w:val="24"/>
        </w:rPr>
      </w:pPr>
      <w:r>
        <w:rPr>
          <w:sz w:val="24"/>
          <w:szCs w:val="24"/>
        </w:rPr>
        <w:lastRenderedPageBreak/>
        <w:t>The LPI is calculated as follows:</w:t>
      </w:r>
    </w:p>
    <w:p w14:paraId="3716F9EA" w14:textId="31038D70" w:rsidR="008D3D4C" w:rsidRDefault="00A34C50" w:rsidP="00A34C50">
      <w:pPr>
        <w:jc w:val="center"/>
        <w:rPr>
          <w:sz w:val="24"/>
          <w:szCs w:val="24"/>
        </w:rPr>
      </w:pPr>
      <w:r>
        <w:rPr>
          <w:noProof/>
        </w:rPr>
        <w:drawing>
          <wp:inline distT="0" distB="0" distL="0" distR="0" wp14:anchorId="213DB2ED" wp14:editId="782D6D55">
            <wp:extent cx="1123950" cy="295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3950" cy="295275"/>
                    </a:xfrm>
                    <a:prstGeom prst="rect">
                      <a:avLst/>
                    </a:prstGeom>
                    <a:noFill/>
                    <a:ln>
                      <a:noFill/>
                    </a:ln>
                  </pic:spPr>
                </pic:pic>
              </a:graphicData>
            </a:graphic>
          </wp:inline>
        </w:drawing>
      </w:r>
      <w:r>
        <w:rPr>
          <w:sz w:val="24"/>
          <w:szCs w:val="24"/>
        </w:rPr>
        <w:t xml:space="preserve"> (18)</w:t>
      </w:r>
    </w:p>
    <w:p w14:paraId="4685D5DE" w14:textId="085D8DF3" w:rsidR="00A34C50" w:rsidRDefault="00A34C50" w:rsidP="00A34C50">
      <w:pPr>
        <w:rPr>
          <w:sz w:val="24"/>
          <w:szCs w:val="24"/>
        </w:rPr>
      </w:pPr>
      <w:r>
        <w:rPr>
          <w:sz w:val="24"/>
          <w:szCs w:val="24"/>
        </w:rPr>
        <w:t xml:space="preserve">Where </w:t>
      </w:r>
      <w:proofErr w:type="spellStart"/>
      <w:r>
        <w:rPr>
          <w:sz w:val="24"/>
          <w:szCs w:val="24"/>
        </w:rPr>
        <w:t>d~_t</w:t>
      </w:r>
      <w:proofErr w:type="spellEnd"/>
      <w:r>
        <w:rPr>
          <w:sz w:val="24"/>
          <w:szCs w:val="24"/>
        </w:rPr>
        <w:t xml:space="preserve"> is the average annual trends if there were multiple population time series of the same species. </w:t>
      </w:r>
      <w:proofErr w:type="spellStart"/>
      <w:r w:rsidR="00C564A1">
        <w:rPr>
          <w:sz w:val="24"/>
          <w:szCs w:val="24"/>
        </w:rPr>
        <w:t>n_t</w:t>
      </w:r>
      <w:proofErr w:type="spellEnd"/>
      <w:r w:rsidR="00C564A1">
        <w:rPr>
          <w:sz w:val="24"/>
          <w:szCs w:val="24"/>
        </w:rPr>
        <w:t xml:space="preserve"> refers to the number of populations of the species. </w:t>
      </w:r>
      <w:proofErr w:type="spellStart"/>
      <w:r>
        <w:rPr>
          <w:sz w:val="24"/>
          <w:szCs w:val="24"/>
        </w:rPr>
        <w:t>d_t</w:t>
      </w:r>
      <w:proofErr w:type="spellEnd"/>
      <w:r w:rsidR="00C564A1">
        <w:rPr>
          <w:sz w:val="24"/>
          <w:szCs w:val="24"/>
        </w:rPr>
        <w:t>, the annual trend of a species,</w:t>
      </w:r>
      <w:r>
        <w:rPr>
          <w:sz w:val="24"/>
          <w:szCs w:val="24"/>
        </w:rPr>
        <w:t xml:space="preserve"> </w:t>
      </w:r>
      <w:r w:rsidR="00C564A1">
        <w:rPr>
          <w:sz w:val="24"/>
          <w:szCs w:val="24"/>
        </w:rPr>
        <w:t>is</w:t>
      </w:r>
      <w:r>
        <w:rPr>
          <w:sz w:val="24"/>
          <w:szCs w:val="24"/>
        </w:rPr>
        <w:t xml:space="preserve"> modelled as follows:</w:t>
      </w:r>
    </w:p>
    <w:p w14:paraId="3561478E" w14:textId="15FA5F7B" w:rsidR="00A34C50" w:rsidRDefault="00A34C50" w:rsidP="00A34C50">
      <w:pPr>
        <w:jc w:val="center"/>
        <w:rPr>
          <w:sz w:val="24"/>
          <w:szCs w:val="24"/>
        </w:rPr>
      </w:pPr>
      <w:r>
        <w:rPr>
          <w:noProof/>
        </w:rPr>
        <w:drawing>
          <wp:inline distT="0" distB="0" distL="0" distR="0" wp14:anchorId="782F6703" wp14:editId="3E8DA99A">
            <wp:extent cx="1200150" cy="361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0150" cy="361950"/>
                    </a:xfrm>
                    <a:prstGeom prst="rect">
                      <a:avLst/>
                    </a:prstGeom>
                    <a:noFill/>
                    <a:ln>
                      <a:noFill/>
                    </a:ln>
                  </pic:spPr>
                </pic:pic>
              </a:graphicData>
            </a:graphic>
          </wp:inline>
        </w:drawing>
      </w:r>
      <w:r>
        <w:rPr>
          <w:noProof/>
        </w:rPr>
        <w:t xml:space="preserve"> </w:t>
      </w:r>
      <w:r>
        <w:rPr>
          <w:sz w:val="24"/>
          <w:szCs w:val="24"/>
        </w:rPr>
        <w:t xml:space="preserve"> (19)</w:t>
      </w:r>
    </w:p>
    <w:p w14:paraId="0FB441E3" w14:textId="08289D8E" w:rsidR="00A34C50" w:rsidRDefault="00A34C50" w:rsidP="00A34C50">
      <w:pPr>
        <w:rPr>
          <w:sz w:val="24"/>
          <w:szCs w:val="24"/>
        </w:rPr>
      </w:pPr>
      <w:r>
        <w:rPr>
          <w:sz w:val="24"/>
          <w:szCs w:val="24"/>
        </w:rPr>
        <w:t xml:space="preserve">Here, </w:t>
      </w:r>
      <w:proofErr w:type="spellStart"/>
      <w:r>
        <w:rPr>
          <w:sz w:val="24"/>
          <w:szCs w:val="24"/>
        </w:rPr>
        <w:t>N_t</w:t>
      </w:r>
      <w:proofErr w:type="spellEnd"/>
      <w:r>
        <w:rPr>
          <w:sz w:val="24"/>
          <w:szCs w:val="24"/>
        </w:rPr>
        <w:t xml:space="preserve"> refers to the population size of a species at time t. </w:t>
      </w:r>
      <w:proofErr w:type="spellStart"/>
      <w:r>
        <w:rPr>
          <w:sz w:val="24"/>
          <w:szCs w:val="24"/>
        </w:rPr>
        <w:t>d_t</w:t>
      </w:r>
      <w:proofErr w:type="spellEnd"/>
      <w:r>
        <w:rPr>
          <w:sz w:val="24"/>
          <w:szCs w:val="24"/>
        </w:rPr>
        <w:t xml:space="preserve"> refers to the trend of the species. After constructing species, group, regional or global trends, these are converted to an index as follows:</w:t>
      </w:r>
    </w:p>
    <w:p w14:paraId="1930FF7F" w14:textId="09C66EF2" w:rsidR="00A34C50" w:rsidRDefault="00C564A1" w:rsidP="00A34C50">
      <w:pPr>
        <w:jc w:val="center"/>
        <w:rPr>
          <w:sz w:val="24"/>
          <w:szCs w:val="24"/>
        </w:rPr>
      </w:pPr>
      <w:r>
        <w:rPr>
          <w:noProof/>
        </w:rPr>
        <w:drawing>
          <wp:inline distT="0" distB="0" distL="0" distR="0" wp14:anchorId="0257A137" wp14:editId="6B4C319F">
            <wp:extent cx="150495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4950" cy="228600"/>
                    </a:xfrm>
                    <a:prstGeom prst="rect">
                      <a:avLst/>
                    </a:prstGeom>
                    <a:noFill/>
                    <a:ln>
                      <a:noFill/>
                    </a:ln>
                  </pic:spPr>
                </pic:pic>
              </a:graphicData>
            </a:graphic>
          </wp:inline>
        </w:drawing>
      </w:r>
      <w:r>
        <w:rPr>
          <w:sz w:val="24"/>
          <w:szCs w:val="24"/>
        </w:rPr>
        <w:t xml:space="preserve"> (20)</w:t>
      </w:r>
    </w:p>
    <w:p w14:paraId="13F1B834" w14:textId="2D4B0D60" w:rsidR="008D3D4C" w:rsidRDefault="006C56E0">
      <w:pPr>
        <w:rPr>
          <w:sz w:val="24"/>
          <w:szCs w:val="24"/>
        </w:rPr>
      </w:pPr>
      <w:r>
        <w:rPr>
          <w:sz w:val="24"/>
          <w:szCs w:val="24"/>
        </w:rPr>
        <w:t xml:space="preserve">The LPI is conducted using two different methods. One being the LPI-U (unweighted LPI) and the LPI-D (proportionally weighted LPI). In the LPI-U, the data is divided into 6 subsets. Based on region (tropical or temperate) and three systems (terrestrial, </w:t>
      </w:r>
      <w:proofErr w:type="gramStart"/>
      <w:r>
        <w:rPr>
          <w:sz w:val="24"/>
          <w:szCs w:val="24"/>
        </w:rPr>
        <w:t>freshwater</w:t>
      </w:r>
      <w:proofErr w:type="gramEnd"/>
      <w:r>
        <w:rPr>
          <w:sz w:val="24"/>
          <w:szCs w:val="24"/>
        </w:rPr>
        <w:t xml:space="preserve"> and marine). The index for each system is calculated by averaging the species trends within each system. The systems being (tropical terrestrial, tropical freshwater, temperate terrestrial, etc.). The index for each region (tropical or temperate) is then calculated by averaging the trends for each system. The tropical and temperate trends are then averaged to form a global trend which is converted into an index using equation 20.</w:t>
      </w:r>
    </w:p>
    <w:p w14:paraId="334CF33E" w14:textId="19682715" w:rsidR="009E4EE0" w:rsidRDefault="009E4EE0" w:rsidP="009E4EE0">
      <w:pPr>
        <w:autoSpaceDE w:val="0"/>
        <w:autoSpaceDN w:val="0"/>
        <w:adjustRightInd w:val="0"/>
        <w:spacing w:after="0" w:line="240" w:lineRule="auto"/>
        <w:rPr>
          <w:sz w:val="24"/>
          <w:szCs w:val="24"/>
        </w:rPr>
      </w:pPr>
      <w:r>
        <w:rPr>
          <w:sz w:val="24"/>
          <w:szCs w:val="24"/>
        </w:rPr>
        <w:t xml:space="preserve">The LPI-D approach is similar. Only it applies proportional weights to species when averaging the trends. </w:t>
      </w:r>
      <w:r w:rsidRPr="009E4EE0">
        <w:rPr>
          <w:sz w:val="24"/>
          <w:szCs w:val="24"/>
        </w:rPr>
        <w:t xml:space="preserve">For example, </w:t>
      </w:r>
      <w:r>
        <w:rPr>
          <w:sz w:val="24"/>
          <w:szCs w:val="24"/>
        </w:rPr>
        <w:t xml:space="preserve">if </w:t>
      </w:r>
      <w:r w:rsidRPr="009E4EE0">
        <w:rPr>
          <w:sz w:val="24"/>
          <w:szCs w:val="24"/>
        </w:rPr>
        <w:t>birds represent 43.3% of terrestrial vertebrate species in</w:t>
      </w:r>
      <w:r>
        <w:rPr>
          <w:sz w:val="24"/>
          <w:szCs w:val="24"/>
        </w:rPr>
        <w:t xml:space="preserve"> </w:t>
      </w:r>
      <w:r w:rsidRPr="009E4EE0">
        <w:rPr>
          <w:sz w:val="24"/>
          <w:szCs w:val="24"/>
        </w:rPr>
        <w:t>the</w:t>
      </w:r>
      <w:r>
        <w:rPr>
          <w:sz w:val="24"/>
          <w:szCs w:val="24"/>
        </w:rPr>
        <w:t xml:space="preserve"> </w:t>
      </w:r>
      <w:r w:rsidRPr="009E4EE0">
        <w:rPr>
          <w:sz w:val="24"/>
          <w:szCs w:val="24"/>
        </w:rPr>
        <w:t xml:space="preserve">Palearctic </w:t>
      </w:r>
      <w:r>
        <w:rPr>
          <w:sz w:val="24"/>
          <w:szCs w:val="24"/>
        </w:rPr>
        <w:t>realm, then</w:t>
      </w:r>
      <w:r w:rsidRPr="009E4EE0">
        <w:rPr>
          <w:sz w:val="24"/>
          <w:szCs w:val="24"/>
        </w:rPr>
        <w:t xml:space="preserve"> this value is used in </w:t>
      </w:r>
      <w:r>
        <w:rPr>
          <w:sz w:val="24"/>
          <w:szCs w:val="24"/>
        </w:rPr>
        <w:t xml:space="preserve">weighting the bird species when calculating </w:t>
      </w:r>
      <w:r w:rsidRPr="009E4EE0">
        <w:rPr>
          <w:sz w:val="24"/>
          <w:szCs w:val="24"/>
        </w:rPr>
        <w:t xml:space="preserve">the weighted average </w:t>
      </w:r>
      <w:r>
        <w:rPr>
          <w:sz w:val="24"/>
          <w:szCs w:val="24"/>
        </w:rPr>
        <w:t xml:space="preserve">of </w:t>
      </w:r>
      <w:r w:rsidRPr="009E4EE0">
        <w:rPr>
          <w:sz w:val="24"/>
          <w:szCs w:val="24"/>
        </w:rPr>
        <w:t>the Palearctic realm trend</w:t>
      </w:r>
      <w:r>
        <w:rPr>
          <w:sz w:val="24"/>
          <w:szCs w:val="24"/>
        </w:rPr>
        <w:t xml:space="preserve"> </w:t>
      </w:r>
      <w:r w:rsidRPr="009E4EE0">
        <w:rPr>
          <w:sz w:val="24"/>
          <w:szCs w:val="24"/>
        </w:rPr>
        <w:t>for terrestrial species.</w:t>
      </w:r>
      <w:r>
        <w:rPr>
          <w:sz w:val="24"/>
          <w:szCs w:val="24"/>
        </w:rPr>
        <w:t xml:space="preserve"> The mathematical representation is as follows:</w:t>
      </w:r>
    </w:p>
    <w:p w14:paraId="4BAFFD49" w14:textId="3994BD40" w:rsidR="009E4EE0" w:rsidRDefault="009E4EE0" w:rsidP="009E4EE0">
      <w:pPr>
        <w:autoSpaceDE w:val="0"/>
        <w:autoSpaceDN w:val="0"/>
        <w:adjustRightInd w:val="0"/>
        <w:spacing w:after="0" w:line="240" w:lineRule="auto"/>
        <w:rPr>
          <w:sz w:val="24"/>
          <w:szCs w:val="24"/>
        </w:rPr>
      </w:pPr>
    </w:p>
    <w:p w14:paraId="1A2D1106" w14:textId="2235906B" w:rsidR="009E4EE0" w:rsidRDefault="001152DE" w:rsidP="009E4EE0">
      <w:pPr>
        <w:autoSpaceDE w:val="0"/>
        <w:autoSpaceDN w:val="0"/>
        <w:adjustRightInd w:val="0"/>
        <w:spacing w:after="0" w:line="240" w:lineRule="auto"/>
        <w:jc w:val="center"/>
        <w:rPr>
          <w:sz w:val="24"/>
          <w:szCs w:val="24"/>
        </w:rPr>
      </w:pPr>
      <w:r>
        <w:rPr>
          <w:noProof/>
        </w:rPr>
        <w:drawing>
          <wp:inline distT="0" distB="0" distL="0" distR="0" wp14:anchorId="5E111756" wp14:editId="5A3DED74">
            <wp:extent cx="2190750" cy="561975"/>
            <wp:effectExtent l="0" t="0" r="0" b="9525"/>
            <wp:docPr id="27" name="Picture 2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with low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0750" cy="561975"/>
                    </a:xfrm>
                    <a:prstGeom prst="rect">
                      <a:avLst/>
                    </a:prstGeom>
                    <a:noFill/>
                    <a:ln>
                      <a:noFill/>
                    </a:ln>
                  </pic:spPr>
                </pic:pic>
              </a:graphicData>
            </a:graphic>
          </wp:inline>
        </w:drawing>
      </w:r>
      <w:r>
        <w:rPr>
          <w:sz w:val="24"/>
          <w:szCs w:val="24"/>
        </w:rPr>
        <w:t xml:space="preserve"> (21)</w:t>
      </w:r>
    </w:p>
    <w:p w14:paraId="7BF22419" w14:textId="135FBB03" w:rsidR="001152DE" w:rsidRDefault="001152DE" w:rsidP="001152DE">
      <w:pPr>
        <w:autoSpaceDE w:val="0"/>
        <w:autoSpaceDN w:val="0"/>
        <w:adjustRightInd w:val="0"/>
        <w:spacing w:after="0" w:line="240" w:lineRule="auto"/>
        <w:rPr>
          <w:sz w:val="24"/>
          <w:szCs w:val="24"/>
        </w:rPr>
      </w:pPr>
    </w:p>
    <w:p w14:paraId="0D4B8025" w14:textId="19A13906" w:rsidR="001152DE" w:rsidRDefault="001152DE" w:rsidP="009E4EE0">
      <w:pPr>
        <w:autoSpaceDE w:val="0"/>
        <w:autoSpaceDN w:val="0"/>
        <w:adjustRightInd w:val="0"/>
        <w:spacing w:after="0" w:line="240" w:lineRule="auto"/>
        <w:rPr>
          <w:sz w:val="24"/>
          <w:szCs w:val="24"/>
        </w:rPr>
      </w:pPr>
      <w:r>
        <w:rPr>
          <w:sz w:val="24"/>
          <w:szCs w:val="24"/>
        </w:rPr>
        <w:t xml:space="preserve">Where </w:t>
      </w:r>
      <w:proofErr w:type="spellStart"/>
      <w:r>
        <w:rPr>
          <w:sz w:val="24"/>
          <w:szCs w:val="24"/>
        </w:rPr>
        <w:t>d_t</w:t>
      </w:r>
      <w:proofErr w:type="spellEnd"/>
      <w:r>
        <w:rPr>
          <w:sz w:val="24"/>
          <w:szCs w:val="24"/>
        </w:rPr>
        <w:t xml:space="preserve"> is the average trend of a given realm and region. N_T is the number of taxonomic groups within a realm, </w:t>
      </w:r>
      <w:proofErr w:type="spellStart"/>
      <w:r>
        <w:rPr>
          <w:sz w:val="24"/>
          <w:szCs w:val="24"/>
        </w:rPr>
        <w:t>d_jt</w:t>
      </w:r>
      <w:proofErr w:type="spellEnd"/>
      <w:r>
        <w:rPr>
          <w:sz w:val="24"/>
          <w:szCs w:val="24"/>
        </w:rPr>
        <w:t xml:space="preserve"> is the average trend of taxonomic group j at time t and </w:t>
      </w:r>
      <w:proofErr w:type="spellStart"/>
      <w:r>
        <w:rPr>
          <w:sz w:val="24"/>
          <w:szCs w:val="24"/>
        </w:rPr>
        <w:t>w_j</w:t>
      </w:r>
      <w:proofErr w:type="spellEnd"/>
      <w:r>
        <w:rPr>
          <w:sz w:val="24"/>
          <w:szCs w:val="24"/>
        </w:rPr>
        <w:t xml:space="preserve"> is the proportional weighting of that taxonomic group (0.43 according to the previous example).</w:t>
      </w:r>
    </w:p>
    <w:p w14:paraId="59155FD0" w14:textId="24099717" w:rsidR="00C91AB8" w:rsidRDefault="00C91AB8" w:rsidP="009E4EE0">
      <w:pPr>
        <w:autoSpaceDE w:val="0"/>
        <w:autoSpaceDN w:val="0"/>
        <w:adjustRightInd w:val="0"/>
        <w:spacing w:after="0" w:line="240" w:lineRule="auto"/>
        <w:rPr>
          <w:sz w:val="24"/>
          <w:szCs w:val="24"/>
        </w:rPr>
      </w:pPr>
    </w:p>
    <w:p w14:paraId="60C6C350" w14:textId="77777777" w:rsidR="00C91AB8" w:rsidRDefault="00C91AB8" w:rsidP="00C91AB8">
      <w:pPr>
        <w:rPr>
          <w:sz w:val="24"/>
          <w:szCs w:val="24"/>
        </w:rPr>
      </w:pPr>
      <w:r>
        <w:rPr>
          <w:sz w:val="24"/>
          <w:szCs w:val="24"/>
        </w:rPr>
        <w:t>Understanding waterbirds population movement over time, in South African wetlands can tell us a lot about the wetland. As discussed previously, some species populations may indicate certain wetland characteristics such as eutrophication levels and siltation rates. Monitoring the combined number of waterbird species can indicate when there are sharp declines or inclines in species abundance. These sharp turning points could indicate that the wetland is changing in some way and thus alert wetland managements to further assess the wetland and take necessary action.</w:t>
      </w:r>
    </w:p>
    <w:p w14:paraId="475E2E82" w14:textId="77777777" w:rsidR="001152DE" w:rsidRPr="001152DE" w:rsidRDefault="001152DE" w:rsidP="009E4EE0">
      <w:pPr>
        <w:autoSpaceDE w:val="0"/>
        <w:autoSpaceDN w:val="0"/>
        <w:adjustRightInd w:val="0"/>
        <w:spacing w:after="0" w:line="240" w:lineRule="auto"/>
        <w:rPr>
          <w:sz w:val="24"/>
          <w:szCs w:val="24"/>
        </w:rPr>
      </w:pPr>
    </w:p>
    <w:p w14:paraId="63A7F627" w14:textId="77777777" w:rsidR="009E4EE0" w:rsidRPr="000C5580" w:rsidRDefault="009E4EE0" w:rsidP="009E4EE0">
      <w:pPr>
        <w:autoSpaceDE w:val="0"/>
        <w:autoSpaceDN w:val="0"/>
        <w:adjustRightInd w:val="0"/>
        <w:spacing w:after="0" w:line="240" w:lineRule="auto"/>
        <w:rPr>
          <w:sz w:val="24"/>
          <w:szCs w:val="24"/>
        </w:rPr>
      </w:pPr>
    </w:p>
    <w:p w14:paraId="078618F4" w14:textId="5D31F4F1" w:rsidR="005637C2" w:rsidRPr="00415E47" w:rsidRDefault="00415E47">
      <w:pPr>
        <w:rPr>
          <w:b/>
          <w:bCs/>
          <w:sz w:val="24"/>
          <w:szCs w:val="24"/>
        </w:rPr>
      </w:pPr>
      <w:r>
        <w:rPr>
          <w:b/>
          <w:bCs/>
          <w:sz w:val="24"/>
          <w:szCs w:val="24"/>
        </w:rPr>
        <w:t xml:space="preserve">2.3.2.2 </w:t>
      </w:r>
      <w:r w:rsidR="00012B0B">
        <w:rPr>
          <w:b/>
          <w:bCs/>
          <w:sz w:val="24"/>
          <w:szCs w:val="24"/>
        </w:rPr>
        <w:t>Diversity</w:t>
      </w:r>
      <w:r>
        <w:rPr>
          <w:b/>
          <w:bCs/>
          <w:sz w:val="24"/>
          <w:szCs w:val="24"/>
        </w:rPr>
        <w:t xml:space="preserve"> Indicators</w:t>
      </w:r>
      <w:r w:rsidR="00834178" w:rsidRPr="00415E47">
        <w:rPr>
          <w:b/>
          <w:bCs/>
          <w:sz w:val="24"/>
          <w:szCs w:val="24"/>
        </w:rPr>
        <w:t xml:space="preserve"> </w:t>
      </w:r>
    </w:p>
    <w:p w14:paraId="63D0B2EC" w14:textId="5DF5D156" w:rsidR="0004436C" w:rsidRDefault="00C91AB8">
      <w:pPr>
        <w:rPr>
          <w:sz w:val="24"/>
          <w:szCs w:val="24"/>
        </w:rPr>
      </w:pPr>
      <w:r>
        <w:rPr>
          <w:sz w:val="24"/>
          <w:szCs w:val="24"/>
        </w:rPr>
        <w:t xml:space="preserve">The diversity of species in an ecosystem is also a very important aspect of a healthy ecosystem. Richer species diversity, or higher levels of evenness, is indicative of a healthy ecosystem </w:t>
      </w:r>
      <w:r>
        <w:rPr>
          <w:sz w:val="24"/>
          <w:szCs w:val="24"/>
        </w:rPr>
        <w:fldChar w:fldCharType="begin"/>
      </w:r>
      <w:r>
        <w:rPr>
          <w:sz w:val="24"/>
          <w:szCs w:val="24"/>
        </w:rPr>
        <w:instrText xml:space="preserve"> ADDIN ZOTERO_ITEM CSL_CITATION {"citationID":"ORQO8TbD","properties":{"formattedCitation":"(Hooper et al., 2005)","plainCitation":"(Hooper et al., 2005)","noteIndex":0},"citationItems":[{"id":34,"uris":["http://zotero.org/users/7587894/items/4QUXAR33"],"uri":["http://zotero.org/users/7587894/items/4QUXAR33"],"itemData":{"id":34,"type":"article-journal","abstract":"Humans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Monographs","DOI":"https://doi.org/10.1890/04-0922","ISSN":"1557-7015","issue":"1","language":"en","note":"_eprint: https://esajournals.onlinelibrary.wiley.com/doi/pdf/10.1890/04-0922","page":"3-35","source":"Wiley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A."}],"issued":{"date-parts":[["2005"]]}}}],"schema":"https://github.com/citation-style-language/schema/raw/master/csl-citation.json"} </w:instrText>
      </w:r>
      <w:r>
        <w:rPr>
          <w:sz w:val="24"/>
          <w:szCs w:val="24"/>
        </w:rPr>
        <w:fldChar w:fldCharType="separate"/>
      </w:r>
      <w:r w:rsidRPr="00C91AB8">
        <w:rPr>
          <w:rFonts w:ascii="Calibri" w:hAnsi="Calibri" w:cs="Calibri"/>
          <w:sz w:val="24"/>
        </w:rPr>
        <w:t>(Hooper et al., 2005)</w:t>
      </w:r>
      <w:r>
        <w:rPr>
          <w:sz w:val="24"/>
          <w:szCs w:val="24"/>
        </w:rPr>
        <w:fldChar w:fldCharType="end"/>
      </w:r>
      <w:r>
        <w:rPr>
          <w:sz w:val="24"/>
          <w:szCs w:val="24"/>
        </w:rPr>
        <w:t xml:space="preserve">. </w:t>
      </w:r>
      <w:r w:rsidR="00012B0B">
        <w:rPr>
          <w:sz w:val="24"/>
          <w:szCs w:val="24"/>
        </w:rPr>
        <w:t xml:space="preserve">Diversity has been another contentious measure in ecology </w:t>
      </w:r>
      <w:r w:rsidR="00012B0B">
        <w:rPr>
          <w:sz w:val="24"/>
          <w:szCs w:val="24"/>
        </w:rPr>
        <w:fldChar w:fldCharType="begin"/>
      </w:r>
      <w:r w:rsidR="00012B0B">
        <w:rPr>
          <w:sz w:val="24"/>
          <w:szCs w:val="24"/>
        </w:rPr>
        <w:instrText xml:space="preserve"> ADDIN ZOTERO_ITEM CSL_CITATION {"citationID":"P2S8TtYa","properties":{"formattedCitation":"(Peet, 1974)","plainCitation":"(Peet, 1974)","noteIndex":0},"citationItems":[{"id":156,"uris":["http://zotero.org/users/7587894/items/SLBV46EC"],"uri":["http://zotero.org/users/7587894/items/SLBV46EC"],"itemData":{"id":156,"type":"article-journal","container-title":"Annual Review of Ecology and Systematics","DOI":"10.1146/annurev.es.05.110174.001441","issue":"1","note":"_eprint: https://doi.org/10.1146/annurev.es.05.110174.001441","page":"285-307","source":"Annual Reviews","title":"The Measurement of Species Diversity","volume":"5","author":[{"family":"Peet","given":"Robert K."}],"issued":{"date-parts":[["1974"]]}}}],"schema":"https://github.com/citation-style-language/schema/raw/master/csl-citation.json"} </w:instrText>
      </w:r>
      <w:r w:rsidR="00012B0B">
        <w:rPr>
          <w:sz w:val="24"/>
          <w:szCs w:val="24"/>
        </w:rPr>
        <w:fldChar w:fldCharType="separate"/>
      </w:r>
      <w:r w:rsidR="00012B0B" w:rsidRPr="00012B0B">
        <w:rPr>
          <w:rFonts w:ascii="Calibri" w:hAnsi="Calibri" w:cs="Calibri"/>
          <w:sz w:val="24"/>
        </w:rPr>
        <w:t>(Peet, 1974)</w:t>
      </w:r>
      <w:r w:rsidR="00012B0B">
        <w:rPr>
          <w:sz w:val="24"/>
          <w:szCs w:val="24"/>
        </w:rPr>
        <w:fldChar w:fldCharType="end"/>
      </w:r>
      <w:r w:rsidR="00012B0B">
        <w:rPr>
          <w:sz w:val="24"/>
          <w:szCs w:val="24"/>
        </w:rPr>
        <w:t>. The literature emphasizes that diversity is dependent on the research questions and the task at hand and there is no definite definition of what diversity</w:t>
      </w:r>
      <w:r w:rsidR="00E23951">
        <w:rPr>
          <w:sz w:val="24"/>
          <w:szCs w:val="24"/>
        </w:rPr>
        <w:t xml:space="preserve"> is</w:t>
      </w:r>
      <w:r w:rsidR="00012B0B">
        <w:rPr>
          <w:sz w:val="24"/>
          <w:szCs w:val="24"/>
        </w:rPr>
        <w:t xml:space="preserve"> </w:t>
      </w:r>
      <w:r w:rsidR="00012B0B">
        <w:rPr>
          <w:sz w:val="24"/>
          <w:szCs w:val="24"/>
        </w:rPr>
        <w:fldChar w:fldCharType="begin"/>
      </w:r>
      <w:r w:rsidR="00012B0B">
        <w:rPr>
          <w:sz w:val="24"/>
          <w:szCs w:val="24"/>
        </w:rPr>
        <w:instrText xml:space="preserve"> ADDIN ZOTERO_ITEM CSL_CITATION {"citationID":"SA1XsiJ2","properties":{"formattedCitation":"(Hurlbert, 1971)","plainCitation":"(Hurlbert, 1971)","noteIndex":0},"citationItems":[{"id":157,"uris":["http://zotero.org/users/7587894/items/7ZN49WUX"],"uri":["http://zotero.org/users/7587894/items/7ZN49WUX"],"itemData":{"id":157,"type":"article-journal","abstract":"The recent literature on species diversity contains many semantic, conceptual, and technical problems. It is suggested that, as a result of these problems, species diversity has become a meaningless concept, that the term be abandoned, and that ecologists take a more critical approach to species—number relations and rely less on information theoretic and other analogies. As multispecific collections of organisms possess numerous statistical properties which conform to the conventional criteria for diversity indices, such collections are not intrinsically arrangeable in linear order along some diversity scale. Several such properties or 'species composition parameters' having straightforward biological interpretations are presented as alternatives to the diversity approach. The two most basic of these are simply </w:instrText>
      </w:r>
      <w:r w:rsidR="00012B0B">
        <w:rPr>
          <w:rFonts w:ascii="Cambria Math" w:hAnsi="Cambria Math" w:cs="Cambria Math"/>
          <w:sz w:val="24"/>
          <w:szCs w:val="24"/>
        </w:rPr>
        <w:instrText>▵</w:instrText>
      </w:r>
      <w:r w:rsidR="00012B0B">
        <w:rPr>
          <w:sz w:val="24"/>
          <w:szCs w:val="24"/>
        </w:rPr>
        <w:instrText xml:space="preserve">1=[n/n—1][1—Σi(N_i/_N)2] =the proportion of potential interindividual encounters which is interspecific (as opposed to intraspecific), assuming every individual in the collection can encounter all other individuals, E(Sn) = Σi [1—(N—Nin)/(Nn)] =the expected number of species in a sample of n individuals selected at random from a collection containing N individuals, S species, and Ni individuals in the ith species.","container-title":"Ecology","DOI":"10.2307/1934145","ISSN":"1939-9170","issue":"4","language":"en","note":"_eprint: https://onlinelibrary.wiley.com/doi/pdf/10.2307/1934145","page":"577-586","source":"Wiley Online Library","title":"The Nonconcept of Species Diversity: A Critique and Alternative Parameters","title-short":"The Nonconcept of Species Diversity","volume":"52","author":[{"family":"Hurlbert","given":"Stuart H."}],"issued":{"date-parts":[["1971"]]}}}],"schema":"https://github.com/citation-style-language/schema/raw/master/csl-citation.json"} </w:instrText>
      </w:r>
      <w:r w:rsidR="00012B0B">
        <w:rPr>
          <w:sz w:val="24"/>
          <w:szCs w:val="24"/>
        </w:rPr>
        <w:fldChar w:fldCharType="separate"/>
      </w:r>
      <w:r w:rsidR="00012B0B" w:rsidRPr="00012B0B">
        <w:rPr>
          <w:rFonts w:ascii="Calibri" w:hAnsi="Calibri" w:cs="Calibri"/>
          <w:sz w:val="24"/>
        </w:rPr>
        <w:t>(</w:t>
      </w:r>
      <w:proofErr w:type="spellStart"/>
      <w:r w:rsidR="00012B0B" w:rsidRPr="00012B0B">
        <w:rPr>
          <w:rFonts w:ascii="Calibri" w:hAnsi="Calibri" w:cs="Calibri"/>
          <w:sz w:val="24"/>
        </w:rPr>
        <w:t>Hurlbert</w:t>
      </w:r>
      <w:proofErr w:type="spellEnd"/>
      <w:r w:rsidR="00012B0B" w:rsidRPr="00012B0B">
        <w:rPr>
          <w:rFonts w:ascii="Calibri" w:hAnsi="Calibri" w:cs="Calibri"/>
          <w:sz w:val="24"/>
        </w:rPr>
        <w:t>, 1971)</w:t>
      </w:r>
      <w:r w:rsidR="00012B0B">
        <w:rPr>
          <w:sz w:val="24"/>
          <w:szCs w:val="24"/>
        </w:rPr>
        <w:fldChar w:fldCharType="end"/>
      </w:r>
      <w:r w:rsidR="00012B0B">
        <w:rPr>
          <w:sz w:val="24"/>
          <w:szCs w:val="24"/>
        </w:rPr>
        <w:t xml:space="preserve">. </w:t>
      </w:r>
    </w:p>
    <w:p w14:paraId="6DCD6EAA" w14:textId="3461C9F1" w:rsidR="0004436C" w:rsidRDefault="00012B0B">
      <w:pPr>
        <w:rPr>
          <w:sz w:val="24"/>
          <w:szCs w:val="24"/>
        </w:rPr>
      </w:pPr>
      <w:r>
        <w:rPr>
          <w:sz w:val="24"/>
          <w:szCs w:val="24"/>
        </w:rPr>
        <w:t xml:space="preserve">In the context of this report, which focuses on South African wetlands and waterbirds, the aim is to monitor the </w:t>
      </w:r>
      <w:r w:rsidR="0004436C">
        <w:rPr>
          <w:sz w:val="24"/>
          <w:szCs w:val="24"/>
        </w:rPr>
        <w:t>evenness</w:t>
      </w:r>
      <w:r>
        <w:rPr>
          <w:sz w:val="24"/>
          <w:szCs w:val="24"/>
        </w:rPr>
        <w:t xml:space="preserve"> in the bird species in </w:t>
      </w:r>
      <w:r w:rsidR="0004436C">
        <w:rPr>
          <w:sz w:val="24"/>
          <w:szCs w:val="24"/>
        </w:rPr>
        <w:t>a wetland over time. The popular indices used to measure species evenness is the Shannon Entropy and the Simpson Index.</w:t>
      </w:r>
      <w:r w:rsidR="00E23951">
        <w:rPr>
          <w:sz w:val="24"/>
          <w:szCs w:val="24"/>
        </w:rPr>
        <w:t xml:space="preserve"> There have been studies aimed at finding the best index for species diversity. The result being that one can’t identify one all-encompassing index, but using a few together gives one a better overview of the ecosystem </w:t>
      </w:r>
      <w:r w:rsidR="00E23951">
        <w:rPr>
          <w:sz w:val="24"/>
          <w:szCs w:val="24"/>
        </w:rPr>
        <w:fldChar w:fldCharType="begin"/>
      </w:r>
      <w:r w:rsidR="00E23951">
        <w:rPr>
          <w:sz w:val="24"/>
          <w:szCs w:val="24"/>
        </w:rPr>
        <w:instrText xml:space="preserve"> ADDIN ZOTERO_ITEM CSL_CITATION {"citationID":"qQz7nzAm","properties":{"formattedCitation":"(Morris et al., 2014)","plainCitation":"(Morris et al., 2014)","noteIndex":0},"citationItems":[{"id":159,"uris":["http://zotero.org/users/7587894/items/24QU8HBU"],"uri":["http://zotero.org/users/7587894/items/24QU8HBU"],"itemData":{"id":159,"type":"article-journal","abstract":"Biodiversity, a multidimensional property of natural systems, is difficult to quantify partly because of the multitude of indices proposed for this purpose. Indices aim to describe general properties of communities that allow us to compare different regions, taxa, and trophic levels. Therefore, they are of fundamental importance for environmental monitoring and conservation, although there is no consensus about which indices are more appropriate and informative. We tested several common diversity indices in a range of simple to complex statistical analyses in order to determine whether some were better suited for certain analyses than others. We used data collected around the focal plant Plantago lanceolata on 60 temperate grassland plots embedded in an agricultural landscape to explore relationships between the common diversity indices of species richness (S), Shannon's diversity (H'), Simpson's diversity (D1), Simpson's dominance (D2), Simpson's evenness (E), and Berger–Parker dominance (BP). We calculated each of these indices for herbaceous plants, arbuscular mycorrhizal fungi, aboveground arthropods, belowground insect larvae, and P. lanceolata molecular and chemical diversity. Including these trait-based measures of diversity allowed us to test whether or not they behaved similarly to the better studied species diversity. We used path analysis to determine whether compound indices detected more relationships between diversities of different organisms and traits than more basic indices. In the path models, more paths were significant when using H', even though all models except that with E were equally reliable. This demonstrates that while common diversity indices may appear interchangeable in simple analyses, when considering complex interactions, the choice of index can profoundly alter the interpretation of results. Data mining in order to identify the index producing the most significant results should be avoided, but simultaneously considering analyses using multiple indices can provide greater insight into the interactions in a system.","container-title":"Ecology and Evolution","DOI":"10.1002/ece3.1155","ISSN":"2045-7758","issue":"18","note":"_eprint: https://onlinelibrary.wiley.com/doi/pdf/10.1002/ece3.1155","page":"3514-3524","source":"Wiley Online Library","title":"Choosing and using diversity indices: insights for ecological applications from the German Biodiversity Exploratories","title-short":"Choosing and using diversity indices","volume":"4","author":[{"family":"Morris","given":"E. Kathryn"},{"family":"Caruso","given":"Tancredi"},{"family":"Buscot","given":"François"},{"family":"Fischer","given":"Markus"},{"family":"Hancock","given":"Christine"},{"family":"Maier","given":"Tanja S."},{"family":"Meiners","given":"Torsten"},{"family":"Müller","given":"Caroline"},{"family":"Obermaier","given":"Elisabeth"},{"family":"Prati","given":"Daniel"},{"family":"Socher","given":"Stephanie A."},{"family":"Sonnemann","given":"Ilja"},{"family":"Wäschke","given":"Nicole"},{"family":"Wubet","given":"Tesfaye"},{"family":"Wurst","given":"Susanne"},{"family":"Rillig","given":"Matthias C."}],"issued":{"date-parts":[["2014"]]}}}],"schema":"https://github.com/citation-style-language/schema/raw/master/csl-citation.json"} </w:instrText>
      </w:r>
      <w:r w:rsidR="00E23951">
        <w:rPr>
          <w:sz w:val="24"/>
          <w:szCs w:val="24"/>
        </w:rPr>
        <w:fldChar w:fldCharType="separate"/>
      </w:r>
      <w:r w:rsidR="00E23951" w:rsidRPr="00E23951">
        <w:rPr>
          <w:rFonts w:ascii="Calibri" w:hAnsi="Calibri" w:cs="Calibri"/>
          <w:sz w:val="24"/>
        </w:rPr>
        <w:t>(Morris et al., 2014)</w:t>
      </w:r>
      <w:r w:rsidR="00E23951">
        <w:rPr>
          <w:sz w:val="24"/>
          <w:szCs w:val="24"/>
        </w:rPr>
        <w:fldChar w:fldCharType="end"/>
      </w:r>
      <w:r w:rsidR="00E23951">
        <w:rPr>
          <w:sz w:val="24"/>
          <w:szCs w:val="24"/>
        </w:rPr>
        <w:t>.</w:t>
      </w:r>
    </w:p>
    <w:p w14:paraId="4E15EA2D" w14:textId="77777777" w:rsidR="00244E29" w:rsidRDefault="00E23951">
      <w:pPr>
        <w:rPr>
          <w:sz w:val="24"/>
          <w:szCs w:val="24"/>
        </w:rPr>
      </w:pPr>
      <w:r>
        <w:rPr>
          <w:sz w:val="24"/>
          <w:szCs w:val="24"/>
        </w:rPr>
        <w:t xml:space="preserve">The closest framework there is to an all-encompassing diversity index is the Hill Numbers model </w:t>
      </w:r>
      <w:r>
        <w:rPr>
          <w:sz w:val="24"/>
          <w:szCs w:val="24"/>
        </w:rPr>
        <w:fldChar w:fldCharType="begin"/>
      </w:r>
      <w:r>
        <w:rPr>
          <w:sz w:val="24"/>
          <w:szCs w:val="24"/>
        </w:rPr>
        <w:instrText xml:space="preserve"> ADDIN ZOTERO_ITEM CSL_CITATION {"citationID":"ECRKW9Gr","properties":{"formattedCitation":"(Hill, 1973)","plainCitation":"(Hill, 1973)","noteIndex":0},"citationItems":[{"id":60,"uris":["http://zotero.org/users/7587894/items/MKHE2JN2"],"uri":["http://zotero.org/users/7587894/items/MKHE2JN2"],"itemData":{"id":60,"type":"article-journal","container-title":"Ecology","DOI":"10.2307/1934352","ISSN":"00129658","issue":"2","language":"en","page":"427-432","source":"DOI.org (Crossref)","title":"Diversity and Evenness: A Unifying Notation and Its Consequences","title-short":"Diversity and Evenness","volume":"54","author":[{"family":"Hill","given":"M. O."}],"issued":{"date-parts":[["1973",3]]}}}],"schema":"https://github.com/citation-style-language/schema/raw/master/csl-citation.json"} </w:instrText>
      </w:r>
      <w:r>
        <w:rPr>
          <w:sz w:val="24"/>
          <w:szCs w:val="24"/>
        </w:rPr>
        <w:fldChar w:fldCharType="separate"/>
      </w:r>
      <w:r w:rsidRPr="00E23951">
        <w:rPr>
          <w:rFonts w:ascii="Calibri" w:hAnsi="Calibri" w:cs="Calibri"/>
          <w:sz w:val="24"/>
        </w:rPr>
        <w:t>(Hill, 1973)</w:t>
      </w:r>
      <w:r>
        <w:rPr>
          <w:sz w:val="24"/>
          <w:szCs w:val="24"/>
        </w:rPr>
        <w:fldChar w:fldCharType="end"/>
      </w:r>
      <w:r>
        <w:rPr>
          <w:sz w:val="24"/>
          <w:szCs w:val="24"/>
        </w:rPr>
        <w:t xml:space="preserve">. </w:t>
      </w:r>
      <w:r w:rsidR="00244E29">
        <w:rPr>
          <w:sz w:val="24"/>
          <w:szCs w:val="24"/>
        </w:rPr>
        <w:t>The Hill Numbers framework provides a range of measures of the effective number of species in a system. Each one differing in their propensity to add more, or less emphasis on the rarer species. The Hill Numbers general formula is as follows:</w:t>
      </w:r>
    </w:p>
    <w:p w14:paraId="268CE936" w14:textId="32F6808F" w:rsidR="00E23951" w:rsidRDefault="0010344F" w:rsidP="00244E29">
      <w:pPr>
        <w:jc w:val="center"/>
        <w:rPr>
          <w:sz w:val="24"/>
          <w:szCs w:val="24"/>
        </w:rPr>
      </w:pPr>
      <w:r>
        <w:rPr>
          <w:noProof/>
        </w:rPr>
        <w:drawing>
          <wp:inline distT="0" distB="0" distL="0" distR="0" wp14:anchorId="0070B484" wp14:editId="0DDB383D">
            <wp:extent cx="2276475" cy="247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76475" cy="247650"/>
                    </a:xfrm>
                    <a:prstGeom prst="rect">
                      <a:avLst/>
                    </a:prstGeom>
                    <a:noFill/>
                    <a:ln>
                      <a:noFill/>
                    </a:ln>
                  </pic:spPr>
                </pic:pic>
              </a:graphicData>
            </a:graphic>
          </wp:inline>
        </w:drawing>
      </w:r>
      <w:r>
        <w:rPr>
          <w:sz w:val="24"/>
          <w:szCs w:val="24"/>
        </w:rPr>
        <w:t xml:space="preserve"> </w:t>
      </w:r>
      <w:r w:rsidR="00244E29">
        <w:rPr>
          <w:sz w:val="24"/>
          <w:szCs w:val="24"/>
        </w:rPr>
        <w:t>(22)</w:t>
      </w:r>
    </w:p>
    <w:p w14:paraId="2B0F324F" w14:textId="1BC01224" w:rsidR="0010344F" w:rsidRDefault="0010344F" w:rsidP="0010344F">
      <w:pPr>
        <w:rPr>
          <w:sz w:val="24"/>
          <w:szCs w:val="24"/>
        </w:rPr>
      </w:pPr>
      <w:r>
        <w:rPr>
          <w:sz w:val="24"/>
          <w:szCs w:val="24"/>
        </w:rPr>
        <w:t>Where N</w:t>
      </w:r>
      <w:r>
        <w:rPr>
          <w:rFonts w:cstheme="minorHAnsi"/>
          <w:sz w:val="24"/>
          <w:szCs w:val="24"/>
          <w:vertAlign w:val="subscript"/>
        </w:rPr>
        <w:t>α</w:t>
      </w:r>
      <w:r>
        <w:rPr>
          <w:sz w:val="24"/>
          <w:szCs w:val="24"/>
        </w:rPr>
        <w:t xml:space="preserve"> is the diversity number of order alpha. These diversity numbers reflect an estimate of the effective number of species present in a sample. The p’s refer to the proportions of species in the sample and n represents the number of species in the sample. </w:t>
      </w:r>
      <w:r w:rsidR="00F22C8B">
        <w:rPr>
          <w:sz w:val="24"/>
          <w:szCs w:val="24"/>
        </w:rPr>
        <w:t>The first three diversity numbers are the most common diversity measures.</w:t>
      </w:r>
      <w:r>
        <w:rPr>
          <w:sz w:val="24"/>
          <w:szCs w:val="24"/>
        </w:rPr>
        <w:t xml:space="preserve"> N</w:t>
      </w:r>
      <w:r>
        <w:rPr>
          <w:sz w:val="24"/>
          <w:szCs w:val="24"/>
          <w:vertAlign w:val="subscript"/>
        </w:rPr>
        <w:t>0</w:t>
      </w:r>
      <w:r>
        <w:rPr>
          <w:sz w:val="24"/>
          <w:szCs w:val="24"/>
        </w:rPr>
        <w:t xml:space="preserve"> is just the number of species in a sample. N</w:t>
      </w:r>
      <w:r>
        <w:rPr>
          <w:sz w:val="24"/>
          <w:szCs w:val="24"/>
          <w:vertAlign w:val="subscript"/>
        </w:rPr>
        <w:t>1</w:t>
      </w:r>
      <w:r>
        <w:rPr>
          <w:sz w:val="24"/>
          <w:szCs w:val="24"/>
        </w:rPr>
        <w:t xml:space="preserve"> approximates to the Shannon Entropy (proof is supplied by Hill). The more general formula for the Shannon Entropy is as follows:</w:t>
      </w:r>
    </w:p>
    <w:p w14:paraId="71487ADB" w14:textId="2E16D24C" w:rsidR="0010344F" w:rsidRDefault="001D69E7" w:rsidP="0010344F">
      <w:pPr>
        <w:jc w:val="center"/>
        <w:rPr>
          <w:sz w:val="24"/>
          <w:szCs w:val="24"/>
        </w:rPr>
      </w:pPr>
      <w:r>
        <w:rPr>
          <w:noProof/>
        </w:rPr>
        <w:drawing>
          <wp:inline distT="0" distB="0" distL="0" distR="0" wp14:anchorId="06C282D2" wp14:editId="519F35A3">
            <wp:extent cx="1304925" cy="247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04925" cy="247650"/>
                    </a:xfrm>
                    <a:prstGeom prst="rect">
                      <a:avLst/>
                    </a:prstGeom>
                    <a:noFill/>
                    <a:ln>
                      <a:noFill/>
                    </a:ln>
                  </pic:spPr>
                </pic:pic>
              </a:graphicData>
            </a:graphic>
          </wp:inline>
        </w:drawing>
      </w:r>
      <w:r>
        <w:rPr>
          <w:sz w:val="24"/>
          <w:szCs w:val="24"/>
        </w:rPr>
        <w:t xml:space="preserve"> </w:t>
      </w:r>
      <w:r w:rsidR="004F1C70">
        <w:rPr>
          <w:sz w:val="24"/>
          <w:szCs w:val="24"/>
        </w:rPr>
        <w:t>(23)</w:t>
      </w:r>
    </w:p>
    <w:p w14:paraId="3C8E886C" w14:textId="0AF781A7" w:rsidR="001D69E7" w:rsidRDefault="001D69E7" w:rsidP="001D69E7">
      <w:pPr>
        <w:rPr>
          <w:sz w:val="24"/>
          <w:szCs w:val="24"/>
        </w:rPr>
      </w:pPr>
      <w:r>
        <w:rPr>
          <w:sz w:val="24"/>
          <w:szCs w:val="24"/>
        </w:rPr>
        <w:t xml:space="preserve">Where x is the index, pi is the proportion of species </w:t>
      </w:r>
      <w:proofErr w:type="spellStart"/>
      <w:r>
        <w:rPr>
          <w:sz w:val="24"/>
          <w:szCs w:val="24"/>
        </w:rPr>
        <w:t>i</w:t>
      </w:r>
      <w:proofErr w:type="spellEnd"/>
      <w:r>
        <w:rPr>
          <w:sz w:val="24"/>
          <w:szCs w:val="24"/>
        </w:rPr>
        <w:t xml:space="preserve"> in the sample and S is the number of species in the sample.</w:t>
      </w:r>
    </w:p>
    <w:p w14:paraId="62255DBE" w14:textId="142FC6CE" w:rsidR="001D69E7" w:rsidRDefault="001D69E7" w:rsidP="001D69E7">
      <w:pPr>
        <w:rPr>
          <w:sz w:val="24"/>
          <w:szCs w:val="24"/>
        </w:rPr>
      </w:pPr>
      <w:r>
        <w:rPr>
          <w:sz w:val="24"/>
          <w:szCs w:val="24"/>
        </w:rPr>
        <w:t>The second diversity number, N</w:t>
      </w:r>
      <w:r>
        <w:rPr>
          <w:sz w:val="24"/>
          <w:szCs w:val="24"/>
          <w:vertAlign w:val="subscript"/>
        </w:rPr>
        <w:t>2</w:t>
      </w:r>
      <w:r>
        <w:rPr>
          <w:sz w:val="24"/>
          <w:szCs w:val="24"/>
        </w:rPr>
        <w:t xml:space="preserve"> is the Simpson’s Index. The more common general formula for the Simpson’s Index is as follows:</w:t>
      </w:r>
    </w:p>
    <w:p w14:paraId="1B1C73CD" w14:textId="0E3F5D0A" w:rsidR="00C47F36" w:rsidRDefault="001D69E7" w:rsidP="001D69E7">
      <w:pPr>
        <w:jc w:val="center"/>
        <w:rPr>
          <w:sz w:val="24"/>
          <w:szCs w:val="24"/>
        </w:rPr>
      </w:pPr>
      <w:r>
        <w:rPr>
          <w:noProof/>
        </w:rPr>
        <w:drawing>
          <wp:inline distT="0" distB="0" distL="0" distR="0" wp14:anchorId="37C7D925" wp14:editId="27795BCD">
            <wp:extent cx="866775" cy="2476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66775" cy="247650"/>
                    </a:xfrm>
                    <a:prstGeom prst="rect">
                      <a:avLst/>
                    </a:prstGeom>
                    <a:noFill/>
                    <a:ln>
                      <a:noFill/>
                    </a:ln>
                  </pic:spPr>
                </pic:pic>
              </a:graphicData>
            </a:graphic>
          </wp:inline>
        </w:drawing>
      </w:r>
      <w:r>
        <w:rPr>
          <w:sz w:val="24"/>
          <w:szCs w:val="24"/>
        </w:rPr>
        <w:t xml:space="preserve"> (24)</w:t>
      </w:r>
    </w:p>
    <w:p w14:paraId="27647ACA" w14:textId="5E72BFB9" w:rsidR="008F512E" w:rsidRDefault="001D69E7" w:rsidP="001D69E7">
      <w:pPr>
        <w:rPr>
          <w:sz w:val="24"/>
          <w:szCs w:val="24"/>
        </w:rPr>
      </w:pPr>
      <w:r>
        <w:rPr>
          <w:sz w:val="24"/>
          <w:szCs w:val="24"/>
        </w:rPr>
        <w:t xml:space="preserve">According to Hill (1973), different indices measure different aspects of diversity. The Simpson’s Index is more sensitive to the abundance of common species in an ecosystem. For this </w:t>
      </w:r>
      <w:r w:rsidR="00F22C8B">
        <w:rPr>
          <w:sz w:val="24"/>
          <w:szCs w:val="24"/>
        </w:rPr>
        <w:t>reason,</w:t>
      </w:r>
      <w:r>
        <w:rPr>
          <w:sz w:val="24"/>
          <w:szCs w:val="24"/>
        </w:rPr>
        <w:t xml:space="preserve"> it is also referred to as the measure of dominance concentration. Whereas the Shannon Entropy focuses more on species evenness in the ecosystem. The Shannon </w:t>
      </w:r>
      <w:r w:rsidR="008F512E">
        <w:rPr>
          <w:sz w:val="24"/>
          <w:szCs w:val="24"/>
        </w:rPr>
        <w:t>Index</w:t>
      </w:r>
      <w:r>
        <w:rPr>
          <w:sz w:val="24"/>
          <w:szCs w:val="24"/>
        </w:rPr>
        <w:t xml:space="preserve"> is </w:t>
      </w:r>
      <w:r w:rsidR="008F512E">
        <w:rPr>
          <w:sz w:val="24"/>
          <w:szCs w:val="24"/>
        </w:rPr>
        <w:t xml:space="preserve">a measure of entropy in an ecosystem </w:t>
      </w:r>
      <w:r w:rsidR="008F512E">
        <w:rPr>
          <w:sz w:val="24"/>
          <w:szCs w:val="24"/>
        </w:rPr>
        <w:fldChar w:fldCharType="begin"/>
      </w:r>
      <w:r w:rsidR="008F512E">
        <w:rPr>
          <w:sz w:val="24"/>
          <w:szCs w:val="24"/>
        </w:rPr>
        <w:instrText xml:space="preserve"> ADDIN ZOTERO_ITEM CSL_CITATION {"citationID":"KUphHSF9","properties":{"formattedCitation":"(Jost, 2006)","plainCitation":"(Jost, 2006)","noteIndex":0},"citationItems":[{"id":62,"uris":["http://zotero.org/users/7587894/items/ZBHUW6QX"],"uri":["http://zotero.org/users/7587894/items/ZBHUW6QX"],"itemData":{"id":62,"type":"article-journal","container-title":"Oikos","DOI":"10.1111/j.2006.0030-1299.14714.x","ISSN":"00301299","issue":"2","journalAbbreviation":"Oikos","language":"en","page":"363-375","source":"DOI.org (Crossref)","title":"&lt;i&gt;Entropy and diversity&lt;/i&gt;","volume":"113","author":[{"family":"Jost","given":"Lou"}],"issued":{"date-parts":[["2006",5]]}}}],"schema":"https://github.com/citation-style-language/schema/raw/master/csl-citation.json"} </w:instrText>
      </w:r>
      <w:r w:rsidR="008F512E">
        <w:rPr>
          <w:sz w:val="24"/>
          <w:szCs w:val="24"/>
        </w:rPr>
        <w:fldChar w:fldCharType="separate"/>
      </w:r>
      <w:r w:rsidR="008F512E" w:rsidRPr="008F512E">
        <w:rPr>
          <w:rFonts w:ascii="Calibri" w:hAnsi="Calibri" w:cs="Calibri"/>
          <w:sz w:val="24"/>
        </w:rPr>
        <w:t>(</w:t>
      </w:r>
      <w:proofErr w:type="spellStart"/>
      <w:r w:rsidR="008F512E" w:rsidRPr="008F512E">
        <w:rPr>
          <w:rFonts w:ascii="Calibri" w:hAnsi="Calibri" w:cs="Calibri"/>
          <w:sz w:val="24"/>
        </w:rPr>
        <w:t>Jost</w:t>
      </w:r>
      <w:proofErr w:type="spellEnd"/>
      <w:r w:rsidR="008F512E" w:rsidRPr="008F512E">
        <w:rPr>
          <w:rFonts w:ascii="Calibri" w:hAnsi="Calibri" w:cs="Calibri"/>
          <w:sz w:val="24"/>
        </w:rPr>
        <w:t>, 2006)</w:t>
      </w:r>
      <w:r w:rsidR="008F512E">
        <w:rPr>
          <w:sz w:val="24"/>
          <w:szCs w:val="24"/>
        </w:rPr>
        <w:fldChar w:fldCharType="end"/>
      </w:r>
      <w:r w:rsidR="008F512E">
        <w:rPr>
          <w:sz w:val="24"/>
          <w:szCs w:val="24"/>
        </w:rPr>
        <w:t xml:space="preserve">. </w:t>
      </w:r>
    </w:p>
    <w:p w14:paraId="049A4BDA" w14:textId="1E81628E" w:rsidR="00C51AEE" w:rsidRDefault="008F512E" w:rsidP="001D69E7">
      <w:pPr>
        <w:rPr>
          <w:sz w:val="24"/>
          <w:szCs w:val="24"/>
        </w:rPr>
      </w:pPr>
      <w:r>
        <w:rPr>
          <w:sz w:val="24"/>
          <w:szCs w:val="24"/>
        </w:rPr>
        <w:lastRenderedPageBreak/>
        <w:t xml:space="preserve">According to </w:t>
      </w:r>
      <w:proofErr w:type="spellStart"/>
      <w:r>
        <w:rPr>
          <w:sz w:val="24"/>
          <w:szCs w:val="24"/>
        </w:rPr>
        <w:t>Jost</w:t>
      </w:r>
      <w:proofErr w:type="spellEnd"/>
      <w:r>
        <w:rPr>
          <w:sz w:val="24"/>
          <w:szCs w:val="24"/>
        </w:rPr>
        <w:t xml:space="preserve"> (2006), the problem with diversity indices is the way in which researchers use them. For example, the Shannon’s index is not diversity </w:t>
      </w:r>
      <w:proofErr w:type="gramStart"/>
      <w:r>
        <w:rPr>
          <w:sz w:val="24"/>
          <w:szCs w:val="24"/>
        </w:rPr>
        <w:t>measures in itself</w:t>
      </w:r>
      <w:proofErr w:type="gramEnd"/>
      <w:r>
        <w:rPr>
          <w:sz w:val="24"/>
          <w:szCs w:val="24"/>
        </w:rPr>
        <w:t xml:space="preserve">. </w:t>
      </w:r>
      <w:r w:rsidR="00F22C8B">
        <w:rPr>
          <w:sz w:val="24"/>
          <w:szCs w:val="24"/>
        </w:rPr>
        <w:t>The Shannon’s Index, instead, is a measure of entropy in an ecosystem. Thus, the</w:t>
      </w:r>
      <w:r>
        <w:rPr>
          <w:sz w:val="24"/>
          <w:szCs w:val="24"/>
        </w:rPr>
        <w:t xml:space="preserve"> in</w:t>
      </w:r>
      <w:r w:rsidR="00C51AEE">
        <w:rPr>
          <w:sz w:val="24"/>
          <w:szCs w:val="24"/>
        </w:rPr>
        <w:t>dex</w:t>
      </w:r>
      <w:r>
        <w:rPr>
          <w:sz w:val="24"/>
          <w:szCs w:val="24"/>
        </w:rPr>
        <w:t xml:space="preserve"> </w:t>
      </w:r>
      <w:r w:rsidR="00C51AEE">
        <w:rPr>
          <w:sz w:val="24"/>
          <w:szCs w:val="24"/>
        </w:rPr>
        <w:t>should</w:t>
      </w:r>
      <w:r>
        <w:rPr>
          <w:sz w:val="24"/>
          <w:szCs w:val="24"/>
        </w:rPr>
        <w:t xml:space="preserve"> first be converted to </w:t>
      </w:r>
      <w:r w:rsidR="00C51AEE">
        <w:rPr>
          <w:sz w:val="24"/>
          <w:szCs w:val="24"/>
        </w:rPr>
        <w:t xml:space="preserve">a </w:t>
      </w:r>
      <w:r>
        <w:rPr>
          <w:sz w:val="24"/>
          <w:szCs w:val="24"/>
        </w:rPr>
        <w:t>true diversit</w:t>
      </w:r>
      <w:r w:rsidR="00C51AEE">
        <w:rPr>
          <w:sz w:val="24"/>
          <w:szCs w:val="24"/>
        </w:rPr>
        <w:t>y (effective number of species in an ecosystem)</w:t>
      </w:r>
      <w:r>
        <w:rPr>
          <w:sz w:val="24"/>
          <w:szCs w:val="24"/>
        </w:rPr>
        <w:t xml:space="preserve"> before any comments can be made regarding </w:t>
      </w:r>
      <w:r w:rsidR="00C51AEE">
        <w:rPr>
          <w:sz w:val="24"/>
          <w:szCs w:val="24"/>
        </w:rPr>
        <w:t>evenness</w:t>
      </w:r>
      <w:r>
        <w:rPr>
          <w:sz w:val="24"/>
          <w:szCs w:val="24"/>
        </w:rPr>
        <w:t xml:space="preserve"> in </w:t>
      </w:r>
      <w:r w:rsidR="00C51AEE">
        <w:rPr>
          <w:sz w:val="24"/>
          <w:szCs w:val="24"/>
        </w:rPr>
        <w:t>the</w:t>
      </w:r>
      <w:r>
        <w:rPr>
          <w:sz w:val="24"/>
          <w:szCs w:val="24"/>
        </w:rPr>
        <w:t xml:space="preserve"> ecosystem. </w:t>
      </w:r>
      <w:proofErr w:type="spellStart"/>
      <w:r>
        <w:rPr>
          <w:sz w:val="24"/>
          <w:szCs w:val="24"/>
        </w:rPr>
        <w:t>Jost</w:t>
      </w:r>
      <w:proofErr w:type="spellEnd"/>
      <w:r w:rsidR="00C51AEE">
        <w:rPr>
          <w:sz w:val="24"/>
          <w:szCs w:val="24"/>
        </w:rPr>
        <w:t>,</w:t>
      </w:r>
      <w:r>
        <w:rPr>
          <w:sz w:val="24"/>
          <w:szCs w:val="24"/>
        </w:rPr>
        <w:t xml:space="preserve"> uses the example of other fields such as </w:t>
      </w:r>
      <w:r w:rsidR="00C51AEE">
        <w:rPr>
          <w:sz w:val="24"/>
          <w:szCs w:val="24"/>
        </w:rPr>
        <w:t xml:space="preserve">physics, </w:t>
      </w:r>
      <w:proofErr w:type="gramStart"/>
      <w:r w:rsidR="00C51AEE">
        <w:rPr>
          <w:sz w:val="24"/>
          <w:szCs w:val="24"/>
        </w:rPr>
        <w:t>economics</w:t>
      </w:r>
      <w:proofErr w:type="gramEnd"/>
      <w:r w:rsidR="00C51AEE">
        <w:rPr>
          <w:sz w:val="24"/>
          <w:szCs w:val="24"/>
        </w:rPr>
        <w:t xml:space="preserve"> and information theory. It’s common practice in all these fields to convert entropy values to the effective number of elements in a system instead of reporting on the entropy index value. One simply needs to exponentiate the Shannon Entropy value to determine the effective number of species in the ecosystem.</w:t>
      </w:r>
    </w:p>
    <w:p w14:paraId="20071E17" w14:textId="61B36D6E" w:rsidR="00884283" w:rsidRDefault="00C51AEE" w:rsidP="001D69E7">
      <w:pPr>
        <w:rPr>
          <w:sz w:val="24"/>
          <w:szCs w:val="24"/>
        </w:rPr>
      </w:pPr>
      <w:r>
        <w:rPr>
          <w:sz w:val="24"/>
          <w:szCs w:val="24"/>
        </w:rPr>
        <w:t xml:space="preserve">Further problems are addressed regarding diversity indices in ecology. Measuring diversity in a system has many differing semantic and technical aspects. Given the different aspects of diversity, and the plethora of </w:t>
      </w:r>
      <w:r w:rsidR="00884283">
        <w:rPr>
          <w:sz w:val="24"/>
          <w:szCs w:val="24"/>
        </w:rPr>
        <w:t>possible indices to measure them, some have argued that diversity measures are a “</w:t>
      </w:r>
      <w:proofErr w:type="spellStart"/>
      <w:r w:rsidR="00884283">
        <w:rPr>
          <w:sz w:val="24"/>
          <w:szCs w:val="24"/>
        </w:rPr>
        <w:t>nonconcept</w:t>
      </w:r>
      <w:proofErr w:type="spellEnd"/>
      <w:r w:rsidR="00884283">
        <w:rPr>
          <w:sz w:val="24"/>
          <w:szCs w:val="24"/>
        </w:rPr>
        <w:t xml:space="preserve">” </w:t>
      </w:r>
      <w:r w:rsidR="00884283">
        <w:rPr>
          <w:sz w:val="24"/>
          <w:szCs w:val="24"/>
        </w:rPr>
        <w:fldChar w:fldCharType="begin"/>
      </w:r>
      <w:r w:rsidR="00884283">
        <w:rPr>
          <w:sz w:val="24"/>
          <w:szCs w:val="24"/>
        </w:rPr>
        <w:instrText xml:space="preserve"> ADDIN ZOTERO_ITEM CSL_CITATION {"citationID":"JivKz13Z","properties":{"formattedCitation":"(Hurlbert, 1971)","plainCitation":"(Hurlbert, 1971)","noteIndex":0},"citationItems":[{"id":157,"uris":["http://zotero.org/users/7587894/items/7ZN49WUX"],"uri":["http://zotero.org/users/7587894/items/7ZN49WUX"],"itemData":{"id":157,"type":"article-journal","abstract":"The recent literature on species diversity contains many semantic, conceptual, and technical problems. It is suggested that, as a result of these problems, species diversity has become a meaningless concept, that the term be abandoned, and that ecologists take a more critical approach to species—number relations and rely less on information theoretic and other analogies. As multispecific collections of organisms possess numerous statistical properties which conform to the conventional criteria for diversity indices, such collections are not intrinsically arrangeable in linear order along some diversity scale. Several such properties or 'species composition parameters' having straightforward biological interpretations are presented as alternatives to the diversity approach. The two most basic of these are simply </w:instrText>
      </w:r>
      <w:r w:rsidR="00884283">
        <w:rPr>
          <w:rFonts w:ascii="Cambria Math" w:hAnsi="Cambria Math" w:cs="Cambria Math"/>
          <w:sz w:val="24"/>
          <w:szCs w:val="24"/>
        </w:rPr>
        <w:instrText>▵</w:instrText>
      </w:r>
      <w:r w:rsidR="00884283">
        <w:rPr>
          <w:sz w:val="24"/>
          <w:szCs w:val="24"/>
        </w:rPr>
        <w:instrText>1=[n/n</w:instrText>
      </w:r>
      <w:r w:rsidR="00884283">
        <w:rPr>
          <w:rFonts w:ascii="Calibri" w:hAnsi="Calibri" w:cs="Calibri"/>
          <w:sz w:val="24"/>
          <w:szCs w:val="24"/>
        </w:rPr>
        <w:instrText>—</w:instrText>
      </w:r>
      <w:r w:rsidR="00884283">
        <w:rPr>
          <w:sz w:val="24"/>
          <w:szCs w:val="24"/>
        </w:rPr>
        <w:instrText>1][1</w:instrText>
      </w:r>
      <w:r w:rsidR="00884283">
        <w:rPr>
          <w:rFonts w:ascii="Calibri" w:hAnsi="Calibri" w:cs="Calibri"/>
          <w:sz w:val="24"/>
          <w:szCs w:val="24"/>
        </w:rPr>
        <w:instrText>—Σ</w:instrText>
      </w:r>
      <w:r w:rsidR="00884283">
        <w:rPr>
          <w:sz w:val="24"/>
          <w:szCs w:val="24"/>
        </w:rPr>
        <w:instrText xml:space="preserve">i(N_i/_N)2] =the proportion of potential interindividual encounters which is interspecific (as opposed to intraspecific), assuming every individual in the collection can encounter all other individuals, E(Sn) = Σi [1—(N—Nin)/(Nn)] =the expected number of species in a sample of n individuals selected at random from a collection containing N individuals, S species, and Ni individuals in the ith species.","container-title":"Ecology","DOI":"10.2307/1934145","ISSN":"1939-9170","issue":"4","language":"en","note":"_eprint: https://onlinelibrary.wiley.com/doi/pdf/10.2307/1934145","page":"577-586","source":"Wiley Online Library","title":"The Nonconcept of Species Diversity: A Critique and Alternative Parameters","title-short":"The Nonconcept of Species Diversity","volume":"52","author":[{"family":"Hurlbert","given":"Stuart H."}],"issued":{"date-parts":[["1971"]]}}}],"schema":"https://github.com/citation-style-language/schema/raw/master/csl-citation.json"} </w:instrText>
      </w:r>
      <w:r w:rsidR="00884283">
        <w:rPr>
          <w:sz w:val="24"/>
          <w:szCs w:val="24"/>
        </w:rPr>
        <w:fldChar w:fldCharType="separate"/>
      </w:r>
      <w:r w:rsidR="00884283" w:rsidRPr="00884283">
        <w:rPr>
          <w:rFonts w:ascii="Calibri" w:hAnsi="Calibri" w:cs="Calibri"/>
          <w:sz w:val="24"/>
        </w:rPr>
        <w:t>(</w:t>
      </w:r>
      <w:proofErr w:type="spellStart"/>
      <w:r w:rsidR="00884283" w:rsidRPr="00884283">
        <w:rPr>
          <w:rFonts w:ascii="Calibri" w:hAnsi="Calibri" w:cs="Calibri"/>
          <w:sz w:val="24"/>
        </w:rPr>
        <w:t>Hurlbert</w:t>
      </w:r>
      <w:proofErr w:type="spellEnd"/>
      <w:r w:rsidR="00884283" w:rsidRPr="00884283">
        <w:rPr>
          <w:rFonts w:ascii="Calibri" w:hAnsi="Calibri" w:cs="Calibri"/>
          <w:sz w:val="24"/>
        </w:rPr>
        <w:t>, 1971)</w:t>
      </w:r>
      <w:r w:rsidR="00884283">
        <w:rPr>
          <w:sz w:val="24"/>
          <w:szCs w:val="24"/>
        </w:rPr>
        <w:fldChar w:fldCharType="end"/>
      </w:r>
      <w:r w:rsidR="00884283">
        <w:rPr>
          <w:sz w:val="24"/>
          <w:szCs w:val="24"/>
        </w:rPr>
        <w:t>. However, given the variety of measures one can use, the issue is perhaps</w:t>
      </w:r>
      <w:r w:rsidR="00F22C8B">
        <w:rPr>
          <w:sz w:val="24"/>
          <w:szCs w:val="24"/>
        </w:rPr>
        <w:t xml:space="preserve"> not the indices but how to choose which ones to use.</w:t>
      </w:r>
      <w:r w:rsidR="00884283">
        <w:rPr>
          <w:sz w:val="24"/>
          <w:szCs w:val="24"/>
        </w:rPr>
        <w:t xml:space="preserve"> </w:t>
      </w:r>
    </w:p>
    <w:p w14:paraId="2FE1118A" w14:textId="761D3E64" w:rsidR="001D69E7" w:rsidRDefault="00884283" w:rsidP="001D69E7">
      <w:pPr>
        <w:rPr>
          <w:sz w:val="24"/>
          <w:szCs w:val="24"/>
        </w:rPr>
      </w:pPr>
      <w:r>
        <w:rPr>
          <w:sz w:val="24"/>
          <w:szCs w:val="24"/>
        </w:rPr>
        <w:fldChar w:fldCharType="begin"/>
      </w:r>
      <w:r>
        <w:rPr>
          <w:sz w:val="24"/>
          <w:szCs w:val="24"/>
        </w:rPr>
        <w:instrText xml:space="preserve"> ADDIN ZOTERO_ITEM CSL_CITATION {"citationID":"Yk7l1YP5","properties":{"custom":"Whittaker (1965)","formattedCitation":"Whittaker (1965)","plainCitation":"Whittaker (1965)","noteIndex":0},"citationItems":[{"id":162,"uris":["http://zotero.org/users/7587894/items/MB79LPW9"],"uri":["http://zotero.org/users/7587894/items/MB79LPW9"],"itemData":{"id":162,"type":"article-journal","container-title":"Science","DOI":"10.1126/science.147.3655.250","issue":"3655","note":"publisher: American Association for the Advancement of Science","page":"250-260","source":"science.org (Atypon)","title":"Dominance and Diversity in Land Plant Communities","volume":"147","author":[{"family":"Whittaker","given":"R. H."}],"issued":{"date-parts":[["1965",1,15]]}}}],"schema":"https://github.com/citation-style-language/schema/raw/master/csl-citation.json"} </w:instrText>
      </w:r>
      <w:r>
        <w:rPr>
          <w:sz w:val="24"/>
          <w:szCs w:val="24"/>
        </w:rPr>
        <w:fldChar w:fldCharType="separate"/>
      </w:r>
      <w:r w:rsidRPr="00884283">
        <w:rPr>
          <w:rFonts w:ascii="Calibri" w:hAnsi="Calibri" w:cs="Calibri"/>
          <w:sz w:val="24"/>
        </w:rPr>
        <w:t>Whittaker (1965)</w:t>
      </w:r>
      <w:r>
        <w:rPr>
          <w:sz w:val="24"/>
          <w:szCs w:val="24"/>
        </w:rPr>
        <w:fldChar w:fldCharType="end"/>
      </w:r>
      <w:r>
        <w:rPr>
          <w:sz w:val="24"/>
          <w:szCs w:val="24"/>
        </w:rPr>
        <w:t xml:space="preserve"> argues that the best way to use diversity indices is to use various indices simultaneously, as each index can tell the user different aspects of the diversity in the system. In terms of the Shannon and Simpson index, the Shannon Entropy, when converted to effective number of species tells the user about the evenness in the ecosystem. The Simpson index, on the other hand, tells the user about the dominance concentration of the ecosystem and will identify if there are dominant species and could also indicate the presence of an alien species.</w:t>
      </w:r>
    </w:p>
    <w:p w14:paraId="03C5BE10" w14:textId="54192FFF" w:rsidR="00C47F36" w:rsidRDefault="00C47F36">
      <w:pPr>
        <w:rPr>
          <w:sz w:val="24"/>
          <w:szCs w:val="24"/>
        </w:rPr>
      </w:pPr>
    </w:p>
    <w:p w14:paraId="65532EB7" w14:textId="4333FD98" w:rsidR="00C47F36" w:rsidRDefault="00C47F36">
      <w:pPr>
        <w:rPr>
          <w:sz w:val="24"/>
          <w:szCs w:val="24"/>
        </w:rPr>
      </w:pPr>
    </w:p>
    <w:p w14:paraId="3C948543" w14:textId="28C93B66" w:rsidR="00C47F36" w:rsidRDefault="00C47F36">
      <w:pPr>
        <w:rPr>
          <w:sz w:val="24"/>
          <w:szCs w:val="24"/>
        </w:rPr>
      </w:pPr>
    </w:p>
    <w:p w14:paraId="4AF88CA6" w14:textId="3C3898EB" w:rsidR="00C47F36" w:rsidRDefault="00C47F36">
      <w:pPr>
        <w:rPr>
          <w:sz w:val="24"/>
          <w:szCs w:val="24"/>
        </w:rPr>
      </w:pPr>
    </w:p>
    <w:p w14:paraId="624F3654" w14:textId="13E40EE2" w:rsidR="00C47F36" w:rsidRDefault="00C47F36">
      <w:pPr>
        <w:rPr>
          <w:sz w:val="24"/>
          <w:szCs w:val="24"/>
        </w:rPr>
      </w:pPr>
    </w:p>
    <w:p w14:paraId="2F1BA9D4" w14:textId="534EE68F" w:rsidR="00C47F36" w:rsidRDefault="00C47F36">
      <w:pPr>
        <w:rPr>
          <w:sz w:val="24"/>
          <w:szCs w:val="24"/>
        </w:rPr>
      </w:pPr>
    </w:p>
    <w:p w14:paraId="14EFCCCD" w14:textId="4E908793" w:rsidR="00C47F36" w:rsidRDefault="00C47F36">
      <w:pPr>
        <w:rPr>
          <w:sz w:val="24"/>
          <w:szCs w:val="24"/>
        </w:rPr>
      </w:pPr>
    </w:p>
    <w:p w14:paraId="19ADE799" w14:textId="3B7A0282" w:rsidR="00C47F36" w:rsidRDefault="00C47F36">
      <w:pPr>
        <w:rPr>
          <w:sz w:val="24"/>
          <w:szCs w:val="24"/>
        </w:rPr>
      </w:pPr>
    </w:p>
    <w:p w14:paraId="52BEFE22" w14:textId="04282E14" w:rsidR="00F22C8B" w:rsidRDefault="00F22C8B">
      <w:pPr>
        <w:rPr>
          <w:sz w:val="24"/>
          <w:szCs w:val="24"/>
        </w:rPr>
      </w:pPr>
    </w:p>
    <w:p w14:paraId="147C72EF" w14:textId="0552011C" w:rsidR="00F22C8B" w:rsidRDefault="00F22C8B">
      <w:pPr>
        <w:rPr>
          <w:sz w:val="24"/>
          <w:szCs w:val="24"/>
        </w:rPr>
      </w:pPr>
    </w:p>
    <w:p w14:paraId="3601512F" w14:textId="77777777" w:rsidR="00F22C8B" w:rsidRDefault="00F22C8B">
      <w:pPr>
        <w:rPr>
          <w:sz w:val="24"/>
          <w:szCs w:val="24"/>
        </w:rPr>
      </w:pPr>
    </w:p>
    <w:p w14:paraId="2A012A56" w14:textId="09C1DC3E" w:rsidR="00C47F36" w:rsidRDefault="00C47F36">
      <w:pPr>
        <w:rPr>
          <w:sz w:val="24"/>
          <w:szCs w:val="24"/>
        </w:rPr>
      </w:pPr>
    </w:p>
    <w:p w14:paraId="6D2AF66F" w14:textId="243CFE35" w:rsidR="00C47F36" w:rsidRDefault="00C47F36">
      <w:pPr>
        <w:rPr>
          <w:sz w:val="24"/>
          <w:szCs w:val="24"/>
        </w:rPr>
      </w:pPr>
    </w:p>
    <w:p w14:paraId="3356B100" w14:textId="535426F6" w:rsidR="008E2C91" w:rsidRPr="00950D3A" w:rsidRDefault="00831A68" w:rsidP="00950D3A">
      <w:pPr>
        <w:rPr>
          <w:b/>
          <w:bCs/>
          <w:sz w:val="40"/>
          <w:szCs w:val="40"/>
        </w:rPr>
      </w:pPr>
      <w:r w:rsidRPr="00C729B5">
        <w:rPr>
          <w:b/>
          <w:bCs/>
          <w:sz w:val="40"/>
          <w:szCs w:val="40"/>
        </w:rPr>
        <w:lastRenderedPageBreak/>
        <w:t>References</w:t>
      </w:r>
    </w:p>
    <w:p w14:paraId="6E8ED8A3" w14:textId="77777777" w:rsidR="00884283" w:rsidRPr="00884283" w:rsidRDefault="00950D3A" w:rsidP="00884283">
      <w:pPr>
        <w:pStyle w:val="Bibliography"/>
        <w:rPr>
          <w:rFonts w:ascii="Calibri" w:hAnsi="Calibri" w:cs="Calibri"/>
          <w:sz w:val="24"/>
          <w:szCs w:val="24"/>
        </w:rPr>
      </w:pPr>
      <w:r>
        <w:fldChar w:fldCharType="begin"/>
      </w:r>
      <w:r w:rsidR="00EB3F03">
        <w:instrText xml:space="preserve"> ADDIN ZOTERO_BIBL {"uncited":[["http://zotero.org/users/7587894/items/VDB8VKY7"],["http://zotero.org/users/7587894/items/7KR8EAJV"]],"omitted":[],"custom":[]} CSL_BIBLIOGRAPHY </w:instrText>
      </w:r>
      <w:r>
        <w:fldChar w:fldCharType="separate"/>
      </w:r>
      <w:proofErr w:type="spellStart"/>
      <w:r w:rsidR="00884283" w:rsidRPr="00884283">
        <w:rPr>
          <w:rFonts w:ascii="Calibri" w:hAnsi="Calibri" w:cs="Calibri"/>
          <w:sz w:val="24"/>
          <w:szCs w:val="24"/>
        </w:rPr>
        <w:t>Aeberhard</w:t>
      </w:r>
      <w:proofErr w:type="spellEnd"/>
      <w:r w:rsidR="00884283" w:rsidRPr="00884283">
        <w:rPr>
          <w:rFonts w:ascii="Calibri" w:hAnsi="Calibri" w:cs="Calibri"/>
          <w:sz w:val="24"/>
          <w:szCs w:val="24"/>
        </w:rPr>
        <w:t xml:space="preserve">, W. H., </w:t>
      </w:r>
      <w:proofErr w:type="spellStart"/>
      <w:r w:rsidR="00884283" w:rsidRPr="00884283">
        <w:rPr>
          <w:rFonts w:ascii="Calibri" w:hAnsi="Calibri" w:cs="Calibri"/>
          <w:sz w:val="24"/>
          <w:szCs w:val="24"/>
        </w:rPr>
        <w:t>Cantoni</w:t>
      </w:r>
      <w:proofErr w:type="spellEnd"/>
      <w:r w:rsidR="00884283" w:rsidRPr="00884283">
        <w:rPr>
          <w:rFonts w:ascii="Calibri" w:hAnsi="Calibri" w:cs="Calibri"/>
          <w:sz w:val="24"/>
          <w:szCs w:val="24"/>
        </w:rPr>
        <w:t xml:space="preserve">, E., Field, C., </w:t>
      </w:r>
      <w:proofErr w:type="spellStart"/>
      <w:r w:rsidR="00884283" w:rsidRPr="00884283">
        <w:rPr>
          <w:rFonts w:ascii="Calibri" w:hAnsi="Calibri" w:cs="Calibri"/>
          <w:sz w:val="24"/>
          <w:szCs w:val="24"/>
        </w:rPr>
        <w:t>Künsch</w:t>
      </w:r>
      <w:proofErr w:type="spellEnd"/>
      <w:r w:rsidR="00884283" w:rsidRPr="00884283">
        <w:rPr>
          <w:rFonts w:ascii="Calibri" w:hAnsi="Calibri" w:cs="Calibri"/>
          <w:sz w:val="24"/>
          <w:szCs w:val="24"/>
        </w:rPr>
        <w:t xml:space="preserve">, H. R., Mills </w:t>
      </w:r>
      <w:proofErr w:type="spellStart"/>
      <w:r w:rsidR="00884283" w:rsidRPr="00884283">
        <w:rPr>
          <w:rFonts w:ascii="Calibri" w:hAnsi="Calibri" w:cs="Calibri"/>
          <w:sz w:val="24"/>
          <w:szCs w:val="24"/>
        </w:rPr>
        <w:t>Flemming</w:t>
      </w:r>
      <w:proofErr w:type="spellEnd"/>
      <w:r w:rsidR="00884283" w:rsidRPr="00884283">
        <w:rPr>
          <w:rFonts w:ascii="Calibri" w:hAnsi="Calibri" w:cs="Calibri"/>
          <w:sz w:val="24"/>
          <w:szCs w:val="24"/>
        </w:rPr>
        <w:t xml:space="preserve">, J., &amp; Xu, X. (n.d.). Robust estimation for discrete-time state space models. </w:t>
      </w:r>
      <w:r w:rsidR="00884283" w:rsidRPr="00884283">
        <w:rPr>
          <w:rFonts w:ascii="Calibri" w:hAnsi="Calibri" w:cs="Calibri"/>
          <w:i/>
          <w:iCs/>
          <w:sz w:val="24"/>
          <w:szCs w:val="24"/>
        </w:rPr>
        <w:t>Scandinavian Journal of Statistics</w:t>
      </w:r>
      <w:r w:rsidR="00884283" w:rsidRPr="00884283">
        <w:rPr>
          <w:rFonts w:ascii="Calibri" w:hAnsi="Calibri" w:cs="Calibri"/>
          <w:sz w:val="24"/>
          <w:szCs w:val="24"/>
        </w:rPr>
        <w:t xml:space="preserve">, </w:t>
      </w:r>
      <w:r w:rsidR="00884283" w:rsidRPr="00884283">
        <w:rPr>
          <w:rFonts w:ascii="Calibri" w:hAnsi="Calibri" w:cs="Calibri"/>
          <w:i/>
          <w:iCs/>
          <w:sz w:val="24"/>
          <w:szCs w:val="24"/>
        </w:rPr>
        <w:t>n/a</w:t>
      </w:r>
      <w:r w:rsidR="00884283" w:rsidRPr="00884283">
        <w:rPr>
          <w:rFonts w:ascii="Calibri" w:hAnsi="Calibri" w:cs="Calibri"/>
          <w:sz w:val="24"/>
          <w:szCs w:val="24"/>
        </w:rPr>
        <w:t>(n/a). https://doi.org/10.1111/sjos.12482</w:t>
      </w:r>
    </w:p>
    <w:p w14:paraId="7919E63D" w14:textId="77777777" w:rsidR="00884283" w:rsidRPr="00884283" w:rsidRDefault="00884283" w:rsidP="00884283">
      <w:pPr>
        <w:pStyle w:val="Bibliography"/>
        <w:rPr>
          <w:rFonts w:ascii="Calibri" w:hAnsi="Calibri" w:cs="Calibri"/>
          <w:sz w:val="24"/>
          <w:szCs w:val="24"/>
        </w:rPr>
      </w:pPr>
      <w:proofErr w:type="spellStart"/>
      <w:r w:rsidRPr="00884283">
        <w:rPr>
          <w:rFonts w:ascii="Calibri" w:hAnsi="Calibri" w:cs="Calibri"/>
          <w:sz w:val="24"/>
          <w:szCs w:val="24"/>
        </w:rPr>
        <w:t>Amat</w:t>
      </w:r>
      <w:proofErr w:type="spellEnd"/>
      <w:r w:rsidRPr="00884283">
        <w:rPr>
          <w:rFonts w:ascii="Calibri" w:hAnsi="Calibri" w:cs="Calibri"/>
          <w:sz w:val="24"/>
          <w:szCs w:val="24"/>
        </w:rPr>
        <w:t xml:space="preserve">, J. A., &amp; Green, A. J. (2010). Waterbirds as Bioindicators of Environmental Conditions. In C. </w:t>
      </w:r>
      <w:proofErr w:type="spellStart"/>
      <w:r w:rsidRPr="00884283">
        <w:rPr>
          <w:rFonts w:ascii="Calibri" w:hAnsi="Calibri" w:cs="Calibri"/>
          <w:sz w:val="24"/>
          <w:szCs w:val="24"/>
        </w:rPr>
        <w:t>Hurford</w:t>
      </w:r>
      <w:proofErr w:type="spellEnd"/>
      <w:r w:rsidRPr="00884283">
        <w:rPr>
          <w:rFonts w:ascii="Calibri" w:hAnsi="Calibri" w:cs="Calibri"/>
          <w:sz w:val="24"/>
          <w:szCs w:val="24"/>
        </w:rPr>
        <w:t xml:space="preserve">, M. Schneider, &amp; I. </w:t>
      </w:r>
      <w:proofErr w:type="spellStart"/>
      <w:r w:rsidRPr="00884283">
        <w:rPr>
          <w:rFonts w:ascii="Calibri" w:hAnsi="Calibri" w:cs="Calibri"/>
          <w:sz w:val="24"/>
          <w:szCs w:val="24"/>
        </w:rPr>
        <w:t>Cowx</w:t>
      </w:r>
      <w:proofErr w:type="spellEnd"/>
      <w:r w:rsidRPr="00884283">
        <w:rPr>
          <w:rFonts w:ascii="Calibri" w:hAnsi="Calibri" w:cs="Calibri"/>
          <w:sz w:val="24"/>
          <w:szCs w:val="24"/>
        </w:rPr>
        <w:t xml:space="preserve"> (Eds.), </w:t>
      </w:r>
      <w:r w:rsidRPr="00884283">
        <w:rPr>
          <w:rFonts w:ascii="Calibri" w:hAnsi="Calibri" w:cs="Calibri"/>
          <w:i/>
          <w:iCs/>
          <w:sz w:val="24"/>
          <w:szCs w:val="24"/>
        </w:rPr>
        <w:t>Conservation Monitoring in Freshwater Habitats: A Practical Guide and Case Studies</w:t>
      </w:r>
      <w:r w:rsidRPr="00884283">
        <w:rPr>
          <w:rFonts w:ascii="Calibri" w:hAnsi="Calibri" w:cs="Calibri"/>
          <w:sz w:val="24"/>
          <w:szCs w:val="24"/>
        </w:rPr>
        <w:t xml:space="preserve"> (pp. 45–52). Springer Netherlands. https://doi.org/10.1007/978-1-4020-9278-7_5</w:t>
      </w:r>
    </w:p>
    <w:p w14:paraId="71A2AA44"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Auger-</w:t>
      </w:r>
      <w:proofErr w:type="spellStart"/>
      <w:r w:rsidRPr="00884283">
        <w:rPr>
          <w:rFonts w:ascii="Calibri" w:hAnsi="Calibri" w:cs="Calibri"/>
          <w:sz w:val="24"/>
          <w:szCs w:val="24"/>
        </w:rPr>
        <w:t>Méthé</w:t>
      </w:r>
      <w:proofErr w:type="spellEnd"/>
      <w:r w:rsidRPr="00884283">
        <w:rPr>
          <w:rFonts w:ascii="Calibri" w:hAnsi="Calibri" w:cs="Calibri"/>
          <w:sz w:val="24"/>
          <w:szCs w:val="24"/>
        </w:rPr>
        <w:t xml:space="preserve">, M., Newman, K., Cole, D., </w:t>
      </w:r>
      <w:proofErr w:type="spellStart"/>
      <w:r w:rsidRPr="00884283">
        <w:rPr>
          <w:rFonts w:ascii="Calibri" w:hAnsi="Calibri" w:cs="Calibri"/>
          <w:sz w:val="24"/>
          <w:szCs w:val="24"/>
        </w:rPr>
        <w:t>Empacher</w:t>
      </w:r>
      <w:proofErr w:type="spellEnd"/>
      <w:r w:rsidRPr="00884283">
        <w:rPr>
          <w:rFonts w:ascii="Calibri" w:hAnsi="Calibri" w:cs="Calibri"/>
          <w:sz w:val="24"/>
          <w:szCs w:val="24"/>
        </w:rPr>
        <w:t xml:space="preserve">, F., </w:t>
      </w:r>
      <w:proofErr w:type="spellStart"/>
      <w:r w:rsidRPr="00884283">
        <w:rPr>
          <w:rFonts w:ascii="Calibri" w:hAnsi="Calibri" w:cs="Calibri"/>
          <w:sz w:val="24"/>
          <w:szCs w:val="24"/>
        </w:rPr>
        <w:t>Gryba</w:t>
      </w:r>
      <w:proofErr w:type="spellEnd"/>
      <w:r w:rsidRPr="00884283">
        <w:rPr>
          <w:rFonts w:ascii="Calibri" w:hAnsi="Calibri" w:cs="Calibri"/>
          <w:sz w:val="24"/>
          <w:szCs w:val="24"/>
        </w:rPr>
        <w:t xml:space="preserve">, R., King, A. A., Leos-Barajas, V., </w:t>
      </w:r>
      <w:proofErr w:type="spellStart"/>
      <w:r w:rsidRPr="00884283">
        <w:rPr>
          <w:rFonts w:ascii="Calibri" w:hAnsi="Calibri" w:cs="Calibri"/>
          <w:sz w:val="24"/>
          <w:szCs w:val="24"/>
        </w:rPr>
        <w:t>Flemming</w:t>
      </w:r>
      <w:proofErr w:type="spellEnd"/>
      <w:r w:rsidRPr="00884283">
        <w:rPr>
          <w:rFonts w:ascii="Calibri" w:hAnsi="Calibri" w:cs="Calibri"/>
          <w:sz w:val="24"/>
          <w:szCs w:val="24"/>
        </w:rPr>
        <w:t xml:space="preserve">, J. M., Nielsen, A., </w:t>
      </w:r>
      <w:proofErr w:type="spellStart"/>
      <w:r w:rsidRPr="00884283">
        <w:rPr>
          <w:rFonts w:ascii="Calibri" w:hAnsi="Calibri" w:cs="Calibri"/>
          <w:sz w:val="24"/>
          <w:szCs w:val="24"/>
        </w:rPr>
        <w:t>Petris</w:t>
      </w:r>
      <w:proofErr w:type="spellEnd"/>
      <w:r w:rsidRPr="00884283">
        <w:rPr>
          <w:rFonts w:ascii="Calibri" w:hAnsi="Calibri" w:cs="Calibri"/>
          <w:sz w:val="24"/>
          <w:szCs w:val="24"/>
        </w:rPr>
        <w:t xml:space="preserve">, G., &amp; Thomas, L. (2021). A guide to state-space </w:t>
      </w:r>
      <w:proofErr w:type="spellStart"/>
      <w:r w:rsidRPr="00884283">
        <w:rPr>
          <w:rFonts w:ascii="Calibri" w:hAnsi="Calibri" w:cs="Calibri"/>
          <w:sz w:val="24"/>
          <w:szCs w:val="24"/>
        </w:rPr>
        <w:t>modeling</w:t>
      </w:r>
      <w:proofErr w:type="spellEnd"/>
      <w:r w:rsidRPr="00884283">
        <w:rPr>
          <w:rFonts w:ascii="Calibri" w:hAnsi="Calibri" w:cs="Calibri"/>
          <w:sz w:val="24"/>
          <w:szCs w:val="24"/>
        </w:rPr>
        <w:t xml:space="preserve"> of ecological time series. </w:t>
      </w:r>
      <w:r w:rsidRPr="00884283">
        <w:rPr>
          <w:rFonts w:ascii="Calibri" w:hAnsi="Calibri" w:cs="Calibri"/>
          <w:i/>
          <w:iCs/>
          <w:sz w:val="24"/>
          <w:szCs w:val="24"/>
        </w:rPr>
        <w:t>ArXiv:2002.02001 [q-Bio, Stat]</w:t>
      </w:r>
      <w:r w:rsidRPr="00884283">
        <w:rPr>
          <w:rFonts w:ascii="Calibri" w:hAnsi="Calibri" w:cs="Calibri"/>
          <w:sz w:val="24"/>
          <w:szCs w:val="24"/>
        </w:rPr>
        <w:t>. http://arxiv.org/abs/2002.02001</w:t>
      </w:r>
    </w:p>
    <w:p w14:paraId="086AF981"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b. (2017, December 24). </w:t>
      </w:r>
      <w:r w:rsidRPr="00884283">
        <w:rPr>
          <w:rFonts w:ascii="Calibri" w:hAnsi="Calibri" w:cs="Calibri"/>
          <w:i/>
          <w:iCs/>
          <w:sz w:val="24"/>
          <w:szCs w:val="24"/>
        </w:rPr>
        <w:t>A Zero-Math Introduction to Markov Chain Monte Carlo Methods</w:t>
      </w:r>
      <w:r w:rsidRPr="00884283">
        <w:rPr>
          <w:rFonts w:ascii="Calibri" w:hAnsi="Calibri" w:cs="Calibri"/>
          <w:sz w:val="24"/>
          <w:szCs w:val="24"/>
        </w:rPr>
        <w:t>. Medium. https://towardsdatascience.com/a-zero-math-introduction-to-markov-chain-monte-carlo-methods-dcba889e0c50</w:t>
      </w:r>
    </w:p>
    <w:p w14:paraId="0AF274A7"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Banner, K. M., Irvine, K. M., &amp; </w:t>
      </w:r>
      <w:proofErr w:type="spellStart"/>
      <w:r w:rsidRPr="00884283">
        <w:rPr>
          <w:rFonts w:ascii="Calibri" w:hAnsi="Calibri" w:cs="Calibri"/>
          <w:sz w:val="24"/>
          <w:szCs w:val="24"/>
        </w:rPr>
        <w:t>Rodhouse</w:t>
      </w:r>
      <w:proofErr w:type="spellEnd"/>
      <w:r w:rsidRPr="00884283">
        <w:rPr>
          <w:rFonts w:ascii="Calibri" w:hAnsi="Calibri" w:cs="Calibri"/>
          <w:sz w:val="24"/>
          <w:szCs w:val="24"/>
        </w:rPr>
        <w:t xml:space="preserve">, T. J. (2020). The use of Bayesian priors in Ecology: The good, the bad and the not great. </w:t>
      </w:r>
      <w:r w:rsidRPr="00884283">
        <w:rPr>
          <w:rFonts w:ascii="Calibri" w:hAnsi="Calibri" w:cs="Calibri"/>
          <w:i/>
          <w:iCs/>
          <w:sz w:val="24"/>
          <w:szCs w:val="24"/>
        </w:rPr>
        <w:t>Methods in Ecology and Evolution</w:t>
      </w:r>
      <w:r w:rsidRPr="00884283">
        <w:rPr>
          <w:rFonts w:ascii="Calibri" w:hAnsi="Calibri" w:cs="Calibri"/>
          <w:sz w:val="24"/>
          <w:szCs w:val="24"/>
        </w:rPr>
        <w:t xml:space="preserve">, </w:t>
      </w:r>
      <w:r w:rsidRPr="00884283">
        <w:rPr>
          <w:rFonts w:ascii="Calibri" w:hAnsi="Calibri" w:cs="Calibri"/>
          <w:i/>
          <w:iCs/>
          <w:sz w:val="24"/>
          <w:szCs w:val="24"/>
        </w:rPr>
        <w:t>11</w:t>
      </w:r>
      <w:r w:rsidRPr="00884283">
        <w:rPr>
          <w:rFonts w:ascii="Calibri" w:hAnsi="Calibri" w:cs="Calibri"/>
          <w:sz w:val="24"/>
          <w:szCs w:val="24"/>
        </w:rPr>
        <w:t>(8), 882–889. https://doi.org/10.1111/2041-210X.13407</w:t>
      </w:r>
    </w:p>
    <w:p w14:paraId="1271D348" w14:textId="77777777" w:rsidR="00884283" w:rsidRPr="00884283" w:rsidRDefault="00884283" w:rsidP="00884283">
      <w:pPr>
        <w:pStyle w:val="Bibliography"/>
        <w:rPr>
          <w:rFonts w:ascii="Calibri" w:hAnsi="Calibri" w:cs="Calibri"/>
          <w:sz w:val="24"/>
          <w:szCs w:val="24"/>
        </w:rPr>
      </w:pPr>
      <w:proofErr w:type="spellStart"/>
      <w:r w:rsidRPr="00884283">
        <w:rPr>
          <w:rFonts w:ascii="Calibri" w:hAnsi="Calibri" w:cs="Calibri"/>
          <w:sz w:val="24"/>
          <w:szCs w:val="24"/>
        </w:rPr>
        <w:t>Barshep</w:t>
      </w:r>
      <w:proofErr w:type="spellEnd"/>
      <w:r w:rsidRPr="00884283">
        <w:rPr>
          <w:rFonts w:ascii="Calibri" w:hAnsi="Calibri" w:cs="Calibri"/>
          <w:sz w:val="24"/>
          <w:szCs w:val="24"/>
        </w:rPr>
        <w:t xml:space="preserve">, Y. (2017). Identifying ecological and life-history drivers of population dynamics of wetland birds in South Africa. </w:t>
      </w:r>
      <w:r w:rsidRPr="00884283">
        <w:rPr>
          <w:rFonts w:ascii="Calibri" w:hAnsi="Calibri" w:cs="Calibri"/>
          <w:i/>
          <w:iCs/>
          <w:sz w:val="24"/>
          <w:szCs w:val="24"/>
        </w:rPr>
        <w:t>Global Ecology and Conservation</w:t>
      </w:r>
      <w:r w:rsidRPr="00884283">
        <w:rPr>
          <w:rFonts w:ascii="Calibri" w:hAnsi="Calibri" w:cs="Calibri"/>
          <w:sz w:val="24"/>
          <w:szCs w:val="24"/>
        </w:rPr>
        <w:t>, 12.</w:t>
      </w:r>
    </w:p>
    <w:p w14:paraId="33C335DE" w14:textId="77777777" w:rsidR="00884283" w:rsidRPr="00884283" w:rsidRDefault="00884283" w:rsidP="00884283">
      <w:pPr>
        <w:pStyle w:val="Bibliography"/>
        <w:rPr>
          <w:rFonts w:ascii="Calibri" w:hAnsi="Calibri" w:cs="Calibri"/>
          <w:sz w:val="24"/>
          <w:szCs w:val="24"/>
        </w:rPr>
      </w:pPr>
      <w:proofErr w:type="spellStart"/>
      <w:r w:rsidRPr="00884283">
        <w:rPr>
          <w:rFonts w:ascii="Calibri" w:hAnsi="Calibri" w:cs="Calibri"/>
          <w:sz w:val="24"/>
          <w:szCs w:val="24"/>
        </w:rPr>
        <w:t>Bolker</w:t>
      </w:r>
      <w:proofErr w:type="spellEnd"/>
      <w:r w:rsidRPr="00884283">
        <w:rPr>
          <w:rFonts w:ascii="Calibri" w:hAnsi="Calibri" w:cs="Calibri"/>
          <w:sz w:val="24"/>
          <w:szCs w:val="24"/>
        </w:rPr>
        <w:t xml:space="preserve">, B. M. (2008). Ecological Models and Data in R. In </w:t>
      </w:r>
      <w:r w:rsidRPr="00884283">
        <w:rPr>
          <w:rFonts w:ascii="Calibri" w:hAnsi="Calibri" w:cs="Calibri"/>
          <w:i/>
          <w:iCs/>
          <w:sz w:val="24"/>
          <w:szCs w:val="24"/>
        </w:rPr>
        <w:t>Ecological Models and Data in R</w:t>
      </w:r>
      <w:r w:rsidRPr="00884283">
        <w:rPr>
          <w:rFonts w:ascii="Calibri" w:hAnsi="Calibri" w:cs="Calibri"/>
          <w:sz w:val="24"/>
          <w:szCs w:val="24"/>
        </w:rPr>
        <w:t>. Princeton University Press. https://doi.org/10.1515/9781400840908</w:t>
      </w:r>
    </w:p>
    <w:p w14:paraId="62F64EC7"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Bozeman Science. (2015, October 1). </w:t>
      </w:r>
      <w:r w:rsidRPr="00884283">
        <w:rPr>
          <w:rFonts w:ascii="Calibri" w:hAnsi="Calibri" w:cs="Calibri"/>
          <w:i/>
          <w:iCs/>
          <w:sz w:val="24"/>
          <w:szCs w:val="24"/>
        </w:rPr>
        <w:t>Population Ecology</w:t>
      </w:r>
      <w:r w:rsidRPr="00884283">
        <w:rPr>
          <w:rFonts w:ascii="Calibri" w:hAnsi="Calibri" w:cs="Calibri"/>
          <w:sz w:val="24"/>
          <w:szCs w:val="24"/>
        </w:rPr>
        <w:t>. https://www.youtube.com/watch?v=PQ-CQ3CQE3g</w:t>
      </w:r>
    </w:p>
    <w:p w14:paraId="1E390CED"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Buckland, S. T., </w:t>
      </w:r>
      <w:proofErr w:type="spellStart"/>
      <w:r w:rsidRPr="00884283">
        <w:rPr>
          <w:rFonts w:ascii="Calibri" w:hAnsi="Calibri" w:cs="Calibri"/>
          <w:sz w:val="24"/>
          <w:szCs w:val="24"/>
        </w:rPr>
        <w:t>Magurran</w:t>
      </w:r>
      <w:proofErr w:type="spellEnd"/>
      <w:r w:rsidRPr="00884283">
        <w:rPr>
          <w:rFonts w:ascii="Calibri" w:hAnsi="Calibri" w:cs="Calibri"/>
          <w:sz w:val="24"/>
          <w:szCs w:val="24"/>
        </w:rPr>
        <w:t xml:space="preserve">, A. E., Green, R. E., &amp; </w:t>
      </w:r>
      <w:proofErr w:type="spellStart"/>
      <w:r w:rsidRPr="00884283">
        <w:rPr>
          <w:rFonts w:ascii="Calibri" w:hAnsi="Calibri" w:cs="Calibri"/>
          <w:sz w:val="24"/>
          <w:szCs w:val="24"/>
        </w:rPr>
        <w:t>Fewster</w:t>
      </w:r>
      <w:proofErr w:type="spellEnd"/>
      <w:r w:rsidRPr="00884283">
        <w:rPr>
          <w:rFonts w:ascii="Calibri" w:hAnsi="Calibri" w:cs="Calibri"/>
          <w:sz w:val="24"/>
          <w:szCs w:val="24"/>
        </w:rPr>
        <w:t xml:space="preserve">, R. M. (2005). Monitoring change in biodiversity through composite indices. </w:t>
      </w:r>
      <w:r w:rsidRPr="00884283">
        <w:rPr>
          <w:rFonts w:ascii="Calibri" w:hAnsi="Calibri" w:cs="Calibri"/>
          <w:i/>
          <w:iCs/>
          <w:sz w:val="24"/>
          <w:szCs w:val="24"/>
        </w:rPr>
        <w:t>Philosophical Transactions of the Royal Society B: Biological Sciences</w:t>
      </w:r>
      <w:r w:rsidRPr="00884283">
        <w:rPr>
          <w:rFonts w:ascii="Calibri" w:hAnsi="Calibri" w:cs="Calibri"/>
          <w:sz w:val="24"/>
          <w:szCs w:val="24"/>
        </w:rPr>
        <w:t xml:space="preserve">, </w:t>
      </w:r>
      <w:r w:rsidRPr="00884283">
        <w:rPr>
          <w:rFonts w:ascii="Calibri" w:hAnsi="Calibri" w:cs="Calibri"/>
          <w:i/>
          <w:iCs/>
          <w:sz w:val="24"/>
          <w:szCs w:val="24"/>
        </w:rPr>
        <w:t>360</w:t>
      </w:r>
      <w:r w:rsidRPr="00884283">
        <w:rPr>
          <w:rFonts w:ascii="Calibri" w:hAnsi="Calibri" w:cs="Calibri"/>
          <w:sz w:val="24"/>
          <w:szCs w:val="24"/>
        </w:rPr>
        <w:t>(1454), 243–254. https://doi.org/10.1098/rstb.2004.1589</w:t>
      </w:r>
    </w:p>
    <w:p w14:paraId="0DB19167"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Burgess, H. H. (1969). Habitat Management on a Mid-Continent Waterfowl Refuge. </w:t>
      </w:r>
      <w:r w:rsidRPr="00884283">
        <w:rPr>
          <w:rFonts w:ascii="Calibri" w:hAnsi="Calibri" w:cs="Calibri"/>
          <w:i/>
          <w:iCs/>
          <w:sz w:val="24"/>
          <w:szCs w:val="24"/>
        </w:rPr>
        <w:t>The Journal of Wildlife Management</w:t>
      </w:r>
      <w:r w:rsidRPr="00884283">
        <w:rPr>
          <w:rFonts w:ascii="Calibri" w:hAnsi="Calibri" w:cs="Calibri"/>
          <w:sz w:val="24"/>
          <w:szCs w:val="24"/>
        </w:rPr>
        <w:t xml:space="preserve">, </w:t>
      </w:r>
      <w:r w:rsidRPr="00884283">
        <w:rPr>
          <w:rFonts w:ascii="Calibri" w:hAnsi="Calibri" w:cs="Calibri"/>
          <w:i/>
          <w:iCs/>
          <w:sz w:val="24"/>
          <w:szCs w:val="24"/>
        </w:rPr>
        <w:t>33</w:t>
      </w:r>
      <w:r w:rsidRPr="00884283">
        <w:rPr>
          <w:rFonts w:ascii="Calibri" w:hAnsi="Calibri" w:cs="Calibri"/>
          <w:sz w:val="24"/>
          <w:szCs w:val="24"/>
        </w:rPr>
        <w:t>(4), 843–847. https://doi.org/10.2307/3799315</w:t>
      </w:r>
    </w:p>
    <w:p w14:paraId="7023E3D2"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Camp, R. J., </w:t>
      </w:r>
      <w:proofErr w:type="spellStart"/>
      <w:r w:rsidRPr="00884283">
        <w:rPr>
          <w:rFonts w:ascii="Calibri" w:hAnsi="Calibri" w:cs="Calibri"/>
          <w:sz w:val="24"/>
          <w:szCs w:val="24"/>
        </w:rPr>
        <w:t>Brinck</w:t>
      </w:r>
      <w:proofErr w:type="spellEnd"/>
      <w:r w:rsidRPr="00884283">
        <w:rPr>
          <w:rFonts w:ascii="Calibri" w:hAnsi="Calibri" w:cs="Calibri"/>
          <w:sz w:val="24"/>
          <w:szCs w:val="24"/>
        </w:rPr>
        <w:t xml:space="preserve">, K. W., </w:t>
      </w:r>
      <w:proofErr w:type="spellStart"/>
      <w:r w:rsidRPr="00884283">
        <w:rPr>
          <w:rFonts w:ascii="Calibri" w:hAnsi="Calibri" w:cs="Calibri"/>
          <w:sz w:val="24"/>
          <w:szCs w:val="24"/>
        </w:rPr>
        <w:t>Gorresen</w:t>
      </w:r>
      <w:proofErr w:type="spellEnd"/>
      <w:r w:rsidRPr="00884283">
        <w:rPr>
          <w:rFonts w:ascii="Calibri" w:hAnsi="Calibri" w:cs="Calibri"/>
          <w:sz w:val="24"/>
          <w:szCs w:val="24"/>
        </w:rPr>
        <w:t xml:space="preserve">, P. M., &amp; Paxton, E. H. (2016). Evaluating abundance and trends in a Hawaiian avian community using state-space analysis. </w:t>
      </w:r>
      <w:r w:rsidRPr="00884283">
        <w:rPr>
          <w:rFonts w:ascii="Calibri" w:hAnsi="Calibri" w:cs="Calibri"/>
          <w:i/>
          <w:iCs/>
          <w:sz w:val="24"/>
          <w:szCs w:val="24"/>
        </w:rPr>
        <w:t>Bird Conservation International</w:t>
      </w:r>
      <w:r w:rsidRPr="00884283">
        <w:rPr>
          <w:rFonts w:ascii="Calibri" w:hAnsi="Calibri" w:cs="Calibri"/>
          <w:sz w:val="24"/>
          <w:szCs w:val="24"/>
        </w:rPr>
        <w:t xml:space="preserve">, </w:t>
      </w:r>
      <w:r w:rsidRPr="00884283">
        <w:rPr>
          <w:rFonts w:ascii="Calibri" w:hAnsi="Calibri" w:cs="Calibri"/>
          <w:i/>
          <w:iCs/>
          <w:sz w:val="24"/>
          <w:szCs w:val="24"/>
        </w:rPr>
        <w:t>26</w:t>
      </w:r>
      <w:r w:rsidRPr="00884283">
        <w:rPr>
          <w:rFonts w:ascii="Calibri" w:hAnsi="Calibri" w:cs="Calibri"/>
          <w:sz w:val="24"/>
          <w:szCs w:val="24"/>
        </w:rPr>
        <w:t>(2), 225–242. https://doi.org/10.1017/S0959270915000088</w:t>
      </w:r>
    </w:p>
    <w:p w14:paraId="2BE7F377"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Collen, B., </w:t>
      </w:r>
      <w:proofErr w:type="spellStart"/>
      <w:r w:rsidRPr="00884283">
        <w:rPr>
          <w:rFonts w:ascii="Calibri" w:hAnsi="Calibri" w:cs="Calibri"/>
          <w:sz w:val="24"/>
          <w:szCs w:val="24"/>
        </w:rPr>
        <w:t>Loh</w:t>
      </w:r>
      <w:proofErr w:type="spellEnd"/>
      <w:r w:rsidRPr="00884283">
        <w:rPr>
          <w:rFonts w:ascii="Calibri" w:hAnsi="Calibri" w:cs="Calibri"/>
          <w:sz w:val="24"/>
          <w:szCs w:val="24"/>
        </w:rPr>
        <w:t xml:space="preserve">, J., </w:t>
      </w:r>
      <w:proofErr w:type="spellStart"/>
      <w:r w:rsidRPr="00884283">
        <w:rPr>
          <w:rFonts w:ascii="Calibri" w:hAnsi="Calibri" w:cs="Calibri"/>
          <w:sz w:val="24"/>
          <w:szCs w:val="24"/>
        </w:rPr>
        <w:t>Whitmee</w:t>
      </w:r>
      <w:proofErr w:type="spellEnd"/>
      <w:r w:rsidRPr="00884283">
        <w:rPr>
          <w:rFonts w:ascii="Calibri" w:hAnsi="Calibri" w:cs="Calibri"/>
          <w:sz w:val="24"/>
          <w:szCs w:val="24"/>
        </w:rPr>
        <w:t xml:space="preserve">, S., </w:t>
      </w:r>
      <w:proofErr w:type="spellStart"/>
      <w:r w:rsidRPr="00884283">
        <w:rPr>
          <w:rFonts w:ascii="Calibri" w:hAnsi="Calibri" w:cs="Calibri"/>
          <w:sz w:val="24"/>
          <w:szCs w:val="24"/>
        </w:rPr>
        <w:t>McRAE</w:t>
      </w:r>
      <w:proofErr w:type="spellEnd"/>
      <w:r w:rsidRPr="00884283">
        <w:rPr>
          <w:rFonts w:ascii="Calibri" w:hAnsi="Calibri" w:cs="Calibri"/>
          <w:sz w:val="24"/>
          <w:szCs w:val="24"/>
        </w:rPr>
        <w:t xml:space="preserve">, L., Amin, R., &amp; Baillie, J. E. M. (2009). Monitoring Change in Vertebrate Abundance: The Living Planet Index. </w:t>
      </w:r>
      <w:r w:rsidRPr="00884283">
        <w:rPr>
          <w:rFonts w:ascii="Calibri" w:hAnsi="Calibri" w:cs="Calibri"/>
          <w:i/>
          <w:iCs/>
          <w:sz w:val="24"/>
          <w:szCs w:val="24"/>
        </w:rPr>
        <w:t>Conservation Biology</w:t>
      </w:r>
      <w:r w:rsidRPr="00884283">
        <w:rPr>
          <w:rFonts w:ascii="Calibri" w:hAnsi="Calibri" w:cs="Calibri"/>
          <w:sz w:val="24"/>
          <w:szCs w:val="24"/>
        </w:rPr>
        <w:t xml:space="preserve">, </w:t>
      </w:r>
      <w:r w:rsidRPr="00884283">
        <w:rPr>
          <w:rFonts w:ascii="Calibri" w:hAnsi="Calibri" w:cs="Calibri"/>
          <w:i/>
          <w:iCs/>
          <w:sz w:val="24"/>
          <w:szCs w:val="24"/>
        </w:rPr>
        <w:t>23</w:t>
      </w:r>
      <w:r w:rsidRPr="00884283">
        <w:rPr>
          <w:rFonts w:ascii="Calibri" w:hAnsi="Calibri" w:cs="Calibri"/>
          <w:sz w:val="24"/>
          <w:szCs w:val="24"/>
        </w:rPr>
        <w:t>(2), 317–327. https://doi.org/10.1111/j.1523-1739.2008.01117.x</w:t>
      </w:r>
    </w:p>
    <w:p w14:paraId="7C73DF96"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lastRenderedPageBreak/>
        <w:t xml:space="preserve">Cox, D. R., </w:t>
      </w:r>
      <w:proofErr w:type="spellStart"/>
      <w:r w:rsidRPr="00884283">
        <w:rPr>
          <w:rFonts w:ascii="Calibri" w:hAnsi="Calibri" w:cs="Calibri"/>
          <w:sz w:val="24"/>
          <w:szCs w:val="24"/>
        </w:rPr>
        <w:t>Spjøtvoll</w:t>
      </w:r>
      <w:proofErr w:type="spellEnd"/>
      <w:r w:rsidRPr="00884283">
        <w:rPr>
          <w:rFonts w:ascii="Calibri" w:hAnsi="Calibri" w:cs="Calibri"/>
          <w:sz w:val="24"/>
          <w:szCs w:val="24"/>
        </w:rPr>
        <w:t xml:space="preserve">, E., Johansen, S., van </w:t>
      </w:r>
      <w:proofErr w:type="spellStart"/>
      <w:r w:rsidRPr="00884283">
        <w:rPr>
          <w:rFonts w:ascii="Calibri" w:hAnsi="Calibri" w:cs="Calibri"/>
          <w:sz w:val="24"/>
          <w:szCs w:val="24"/>
        </w:rPr>
        <w:t>Zwet</w:t>
      </w:r>
      <w:proofErr w:type="spellEnd"/>
      <w:r w:rsidRPr="00884283">
        <w:rPr>
          <w:rFonts w:ascii="Calibri" w:hAnsi="Calibri" w:cs="Calibri"/>
          <w:sz w:val="24"/>
          <w:szCs w:val="24"/>
        </w:rPr>
        <w:t xml:space="preserve">, W. R., </w:t>
      </w:r>
      <w:proofErr w:type="spellStart"/>
      <w:r w:rsidRPr="00884283">
        <w:rPr>
          <w:rFonts w:ascii="Calibri" w:hAnsi="Calibri" w:cs="Calibri"/>
          <w:sz w:val="24"/>
          <w:szCs w:val="24"/>
        </w:rPr>
        <w:t>Bithell</w:t>
      </w:r>
      <w:proofErr w:type="spellEnd"/>
      <w:r w:rsidRPr="00884283">
        <w:rPr>
          <w:rFonts w:ascii="Calibri" w:hAnsi="Calibri" w:cs="Calibri"/>
          <w:sz w:val="24"/>
          <w:szCs w:val="24"/>
        </w:rPr>
        <w:t xml:space="preserve">, J. F., </w:t>
      </w:r>
      <w:proofErr w:type="spellStart"/>
      <w:r w:rsidRPr="00884283">
        <w:rPr>
          <w:rFonts w:ascii="Calibri" w:hAnsi="Calibri" w:cs="Calibri"/>
          <w:sz w:val="24"/>
          <w:szCs w:val="24"/>
        </w:rPr>
        <w:t>Barndorff</w:t>
      </w:r>
      <w:proofErr w:type="spellEnd"/>
      <w:r w:rsidRPr="00884283">
        <w:rPr>
          <w:rFonts w:ascii="Calibri" w:hAnsi="Calibri" w:cs="Calibri"/>
          <w:sz w:val="24"/>
          <w:szCs w:val="24"/>
        </w:rPr>
        <w:t xml:space="preserve">-Nielsen, O., &amp; </w:t>
      </w:r>
      <w:proofErr w:type="spellStart"/>
      <w:r w:rsidRPr="00884283">
        <w:rPr>
          <w:rFonts w:ascii="Calibri" w:hAnsi="Calibri" w:cs="Calibri"/>
          <w:sz w:val="24"/>
          <w:szCs w:val="24"/>
        </w:rPr>
        <w:t>Keuls</w:t>
      </w:r>
      <w:proofErr w:type="spellEnd"/>
      <w:r w:rsidRPr="00884283">
        <w:rPr>
          <w:rFonts w:ascii="Calibri" w:hAnsi="Calibri" w:cs="Calibri"/>
          <w:sz w:val="24"/>
          <w:szCs w:val="24"/>
        </w:rPr>
        <w:t xml:space="preserve">, M. (1977). The Role of Significance Tests [with Discussion and Reply]. </w:t>
      </w:r>
      <w:r w:rsidRPr="00884283">
        <w:rPr>
          <w:rFonts w:ascii="Calibri" w:hAnsi="Calibri" w:cs="Calibri"/>
          <w:i/>
          <w:iCs/>
          <w:sz w:val="24"/>
          <w:szCs w:val="24"/>
        </w:rPr>
        <w:t>Scandinavian Journal of Statistics</w:t>
      </w:r>
      <w:r w:rsidRPr="00884283">
        <w:rPr>
          <w:rFonts w:ascii="Calibri" w:hAnsi="Calibri" w:cs="Calibri"/>
          <w:sz w:val="24"/>
          <w:szCs w:val="24"/>
        </w:rPr>
        <w:t xml:space="preserve">, </w:t>
      </w:r>
      <w:r w:rsidRPr="00884283">
        <w:rPr>
          <w:rFonts w:ascii="Calibri" w:hAnsi="Calibri" w:cs="Calibri"/>
          <w:i/>
          <w:iCs/>
          <w:sz w:val="24"/>
          <w:szCs w:val="24"/>
        </w:rPr>
        <w:t>4</w:t>
      </w:r>
      <w:r w:rsidRPr="00884283">
        <w:rPr>
          <w:rFonts w:ascii="Calibri" w:hAnsi="Calibri" w:cs="Calibri"/>
          <w:sz w:val="24"/>
          <w:szCs w:val="24"/>
        </w:rPr>
        <w:t>(2), 49–70.</w:t>
      </w:r>
    </w:p>
    <w:p w14:paraId="04558903"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Crouse, D. T., Crowder, L. B., &amp; Caswell, H. (1987). A Stage-Based Population Model for Loggerhead Sea Turtles and Implications for Conservation. </w:t>
      </w:r>
      <w:r w:rsidRPr="00884283">
        <w:rPr>
          <w:rFonts w:ascii="Calibri" w:hAnsi="Calibri" w:cs="Calibri"/>
          <w:i/>
          <w:iCs/>
          <w:sz w:val="24"/>
          <w:szCs w:val="24"/>
        </w:rPr>
        <w:t>Ecology</w:t>
      </w:r>
      <w:r w:rsidRPr="00884283">
        <w:rPr>
          <w:rFonts w:ascii="Calibri" w:hAnsi="Calibri" w:cs="Calibri"/>
          <w:sz w:val="24"/>
          <w:szCs w:val="24"/>
        </w:rPr>
        <w:t xml:space="preserve">, </w:t>
      </w:r>
      <w:r w:rsidRPr="00884283">
        <w:rPr>
          <w:rFonts w:ascii="Calibri" w:hAnsi="Calibri" w:cs="Calibri"/>
          <w:i/>
          <w:iCs/>
          <w:sz w:val="24"/>
          <w:szCs w:val="24"/>
        </w:rPr>
        <w:t>68</w:t>
      </w:r>
      <w:r w:rsidRPr="00884283">
        <w:rPr>
          <w:rFonts w:ascii="Calibri" w:hAnsi="Calibri" w:cs="Calibri"/>
          <w:sz w:val="24"/>
          <w:szCs w:val="24"/>
        </w:rPr>
        <w:t>(5), 1412–1423. https://doi.org/10.2307/1939225</w:t>
      </w:r>
    </w:p>
    <w:p w14:paraId="6075F3F5"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Crowder, L. B., Crouse, D. T., </w:t>
      </w:r>
      <w:proofErr w:type="spellStart"/>
      <w:r w:rsidRPr="00884283">
        <w:rPr>
          <w:rFonts w:ascii="Calibri" w:hAnsi="Calibri" w:cs="Calibri"/>
          <w:sz w:val="24"/>
          <w:szCs w:val="24"/>
        </w:rPr>
        <w:t>Heppell</w:t>
      </w:r>
      <w:proofErr w:type="spellEnd"/>
      <w:r w:rsidRPr="00884283">
        <w:rPr>
          <w:rFonts w:ascii="Calibri" w:hAnsi="Calibri" w:cs="Calibri"/>
          <w:sz w:val="24"/>
          <w:szCs w:val="24"/>
        </w:rPr>
        <w:t xml:space="preserve">, S. S., &amp; Martin, T. H. (1994). Predicting the Impact of Turtle Excluder Devices on Loggerhead Sea Turtle Populations. </w:t>
      </w:r>
      <w:r w:rsidRPr="00884283">
        <w:rPr>
          <w:rFonts w:ascii="Calibri" w:hAnsi="Calibri" w:cs="Calibri"/>
          <w:i/>
          <w:iCs/>
          <w:sz w:val="24"/>
          <w:szCs w:val="24"/>
        </w:rPr>
        <w:t>Ecological Applications</w:t>
      </w:r>
      <w:r w:rsidRPr="00884283">
        <w:rPr>
          <w:rFonts w:ascii="Calibri" w:hAnsi="Calibri" w:cs="Calibri"/>
          <w:sz w:val="24"/>
          <w:szCs w:val="24"/>
        </w:rPr>
        <w:t xml:space="preserve">, </w:t>
      </w:r>
      <w:r w:rsidRPr="00884283">
        <w:rPr>
          <w:rFonts w:ascii="Calibri" w:hAnsi="Calibri" w:cs="Calibri"/>
          <w:i/>
          <w:iCs/>
          <w:sz w:val="24"/>
          <w:szCs w:val="24"/>
        </w:rPr>
        <w:t>4</w:t>
      </w:r>
      <w:r w:rsidRPr="00884283">
        <w:rPr>
          <w:rFonts w:ascii="Calibri" w:hAnsi="Calibri" w:cs="Calibri"/>
          <w:sz w:val="24"/>
          <w:szCs w:val="24"/>
        </w:rPr>
        <w:t>(3), 437–445. https://doi.org/10.2307/1941948</w:t>
      </w:r>
    </w:p>
    <w:p w14:paraId="281CDCDD"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Dennis, B. (1996). Discussion: Should Ecologists Become Bayesians? </w:t>
      </w:r>
      <w:r w:rsidRPr="00884283">
        <w:rPr>
          <w:rFonts w:ascii="Calibri" w:hAnsi="Calibri" w:cs="Calibri"/>
          <w:i/>
          <w:iCs/>
          <w:sz w:val="24"/>
          <w:szCs w:val="24"/>
        </w:rPr>
        <w:t>Ecological Applications</w:t>
      </w:r>
      <w:r w:rsidRPr="00884283">
        <w:rPr>
          <w:rFonts w:ascii="Calibri" w:hAnsi="Calibri" w:cs="Calibri"/>
          <w:sz w:val="24"/>
          <w:szCs w:val="24"/>
        </w:rPr>
        <w:t xml:space="preserve">, </w:t>
      </w:r>
      <w:r w:rsidRPr="00884283">
        <w:rPr>
          <w:rFonts w:ascii="Calibri" w:hAnsi="Calibri" w:cs="Calibri"/>
          <w:i/>
          <w:iCs/>
          <w:sz w:val="24"/>
          <w:szCs w:val="24"/>
        </w:rPr>
        <w:t>6</w:t>
      </w:r>
      <w:r w:rsidRPr="00884283">
        <w:rPr>
          <w:rFonts w:ascii="Calibri" w:hAnsi="Calibri" w:cs="Calibri"/>
          <w:sz w:val="24"/>
          <w:szCs w:val="24"/>
        </w:rPr>
        <w:t>(4), 1095–1103. https://doi.org/10.2307/2269594</w:t>
      </w:r>
    </w:p>
    <w:p w14:paraId="7651E279"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Gelman, A., Hwang, J., &amp; </w:t>
      </w:r>
      <w:proofErr w:type="spellStart"/>
      <w:r w:rsidRPr="00884283">
        <w:rPr>
          <w:rFonts w:ascii="Calibri" w:hAnsi="Calibri" w:cs="Calibri"/>
          <w:sz w:val="24"/>
          <w:szCs w:val="24"/>
        </w:rPr>
        <w:t>Vehtari</w:t>
      </w:r>
      <w:proofErr w:type="spellEnd"/>
      <w:r w:rsidRPr="00884283">
        <w:rPr>
          <w:rFonts w:ascii="Calibri" w:hAnsi="Calibri" w:cs="Calibri"/>
          <w:sz w:val="24"/>
          <w:szCs w:val="24"/>
        </w:rPr>
        <w:t xml:space="preserve">, A. (2014). Understanding predictive information criteria for Bayesian models. </w:t>
      </w:r>
      <w:r w:rsidRPr="00884283">
        <w:rPr>
          <w:rFonts w:ascii="Calibri" w:hAnsi="Calibri" w:cs="Calibri"/>
          <w:i/>
          <w:iCs/>
          <w:sz w:val="24"/>
          <w:szCs w:val="24"/>
        </w:rPr>
        <w:t>Statistics and Computing</w:t>
      </w:r>
      <w:r w:rsidRPr="00884283">
        <w:rPr>
          <w:rFonts w:ascii="Calibri" w:hAnsi="Calibri" w:cs="Calibri"/>
          <w:sz w:val="24"/>
          <w:szCs w:val="24"/>
        </w:rPr>
        <w:t xml:space="preserve">, </w:t>
      </w:r>
      <w:r w:rsidRPr="00884283">
        <w:rPr>
          <w:rFonts w:ascii="Calibri" w:hAnsi="Calibri" w:cs="Calibri"/>
          <w:i/>
          <w:iCs/>
          <w:sz w:val="24"/>
          <w:szCs w:val="24"/>
        </w:rPr>
        <w:t>24</w:t>
      </w:r>
      <w:r w:rsidRPr="00884283">
        <w:rPr>
          <w:rFonts w:ascii="Calibri" w:hAnsi="Calibri" w:cs="Calibri"/>
          <w:sz w:val="24"/>
          <w:szCs w:val="24"/>
        </w:rPr>
        <w:t>(6), 997–1016. https://doi.org/10.1007/s11222-013-9416-2</w:t>
      </w:r>
    </w:p>
    <w:p w14:paraId="3E6A3424"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Gelman, A., &amp; Rubin, D. B. (1992). Inference from Iterative Simulation Using Multiple Sequences. </w:t>
      </w:r>
      <w:r w:rsidRPr="00884283">
        <w:rPr>
          <w:rFonts w:ascii="Calibri" w:hAnsi="Calibri" w:cs="Calibri"/>
          <w:i/>
          <w:iCs/>
          <w:sz w:val="24"/>
          <w:szCs w:val="24"/>
        </w:rPr>
        <w:t>Statistical Science</w:t>
      </w:r>
      <w:r w:rsidRPr="00884283">
        <w:rPr>
          <w:rFonts w:ascii="Calibri" w:hAnsi="Calibri" w:cs="Calibri"/>
          <w:sz w:val="24"/>
          <w:szCs w:val="24"/>
        </w:rPr>
        <w:t xml:space="preserve">, </w:t>
      </w:r>
      <w:r w:rsidRPr="00884283">
        <w:rPr>
          <w:rFonts w:ascii="Calibri" w:hAnsi="Calibri" w:cs="Calibri"/>
          <w:i/>
          <w:iCs/>
          <w:sz w:val="24"/>
          <w:szCs w:val="24"/>
        </w:rPr>
        <w:t>7</w:t>
      </w:r>
      <w:r w:rsidRPr="00884283">
        <w:rPr>
          <w:rFonts w:ascii="Calibri" w:hAnsi="Calibri" w:cs="Calibri"/>
          <w:sz w:val="24"/>
          <w:szCs w:val="24"/>
        </w:rPr>
        <w:t>(4), 457–472. https://doi.org/10.1214/ss/1177011136</w:t>
      </w:r>
    </w:p>
    <w:p w14:paraId="0B5F3068" w14:textId="77777777" w:rsidR="00884283" w:rsidRPr="00884283" w:rsidRDefault="00884283" w:rsidP="00884283">
      <w:pPr>
        <w:pStyle w:val="Bibliography"/>
        <w:rPr>
          <w:rFonts w:ascii="Calibri" w:hAnsi="Calibri" w:cs="Calibri"/>
          <w:sz w:val="24"/>
          <w:szCs w:val="24"/>
        </w:rPr>
      </w:pPr>
      <w:proofErr w:type="spellStart"/>
      <w:r w:rsidRPr="00884283">
        <w:rPr>
          <w:rFonts w:ascii="Calibri" w:hAnsi="Calibri" w:cs="Calibri"/>
          <w:sz w:val="24"/>
          <w:szCs w:val="24"/>
        </w:rPr>
        <w:t>Govindarajulu</w:t>
      </w:r>
      <w:proofErr w:type="spellEnd"/>
      <w:r w:rsidRPr="00884283">
        <w:rPr>
          <w:rFonts w:ascii="Calibri" w:hAnsi="Calibri" w:cs="Calibri"/>
          <w:sz w:val="24"/>
          <w:szCs w:val="24"/>
        </w:rPr>
        <w:t xml:space="preserve">, P., </w:t>
      </w:r>
      <w:proofErr w:type="spellStart"/>
      <w:r w:rsidRPr="00884283">
        <w:rPr>
          <w:rFonts w:ascii="Calibri" w:hAnsi="Calibri" w:cs="Calibri"/>
          <w:sz w:val="24"/>
          <w:szCs w:val="24"/>
        </w:rPr>
        <w:t>Altwegg</w:t>
      </w:r>
      <w:proofErr w:type="spellEnd"/>
      <w:r w:rsidRPr="00884283">
        <w:rPr>
          <w:rFonts w:ascii="Calibri" w:hAnsi="Calibri" w:cs="Calibri"/>
          <w:sz w:val="24"/>
          <w:szCs w:val="24"/>
        </w:rPr>
        <w:t xml:space="preserve">, R., &amp; </w:t>
      </w:r>
      <w:proofErr w:type="spellStart"/>
      <w:r w:rsidRPr="00884283">
        <w:rPr>
          <w:rFonts w:ascii="Calibri" w:hAnsi="Calibri" w:cs="Calibri"/>
          <w:sz w:val="24"/>
          <w:szCs w:val="24"/>
        </w:rPr>
        <w:t>Anholt</w:t>
      </w:r>
      <w:proofErr w:type="spellEnd"/>
      <w:r w:rsidRPr="00884283">
        <w:rPr>
          <w:rFonts w:ascii="Calibri" w:hAnsi="Calibri" w:cs="Calibri"/>
          <w:sz w:val="24"/>
          <w:szCs w:val="24"/>
        </w:rPr>
        <w:t xml:space="preserve">, B. R. (2005). Matrix Model Investigation of Invasive Species Control: Bullfrogs on Vancouver Island. </w:t>
      </w:r>
      <w:r w:rsidRPr="00884283">
        <w:rPr>
          <w:rFonts w:ascii="Calibri" w:hAnsi="Calibri" w:cs="Calibri"/>
          <w:i/>
          <w:iCs/>
          <w:sz w:val="24"/>
          <w:szCs w:val="24"/>
        </w:rPr>
        <w:t>Ecological Applications</w:t>
      </w:r>
      <w:r w:rsidRPr="00884283">
        <w:rPr>
          <w:rFonts w:ascii="Calibri" w:hAnsi="Calibri" w:cs="Calibri"/>
          <w:sz w:val="24"/>
          <w:szCs w:val="24"/>
        </w:rPr>
        <w:t xml:space="preserve">, </w:t>
      </w:r>
      <w:r w:rsidRPr="00884283">
        <w:rPr>
          <w:rFonts w:ascii="Calibri" w:hAnsi="Calibri" w:cs="Calibri"/>
          <w:i/>
          <w:iCs/>
          <w:sz w:val="24"/>
          <w:szCs w:val="24"/>
        </w:rPr>
        <w:t>15</w:t>
      </w:r>
      <w:r w:rsidRPr="00884283">
        <w:rPr>
          <w:rFonts w:ascii="Calibri" w:hAnsi="Calibri" w:cs="Calibri"/>
          <w:sz w:val="24"/>
          <w:szCs w:val="24"/>
        </w:rPr>
        <w:t>(6), 2161–2170. https://doi.org/10.1890/05-0486</w:t>
      </w:r>
    </w:p>
    <w:p w14:paraId="5DD0CBC3"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Gregory, R. D., Noble, D., Field, R., Marchant, J., Raven, M., &amp; Gibbons, D. W. (2003). Using birds as indicators of biodiversity. </w:t>
      </w:r>
      <w:r w:rsidRPr="00884283">
        <w:rPr>
          <w:rFonts w:ascii="Calibri" w:hAnsi="Calibri" w:cs="Calibri"/>
          <w:i/>
          <w:iCs/>
          <w:sz w:val="24"/>
          <w:szCs w:val="24"/>
        </w:rPr>
        <w:t>ORNIS HUNGARICA</w:t>
      </w:r>
      <w:r w:rsidRPr="00884283">
        <w:rPr>
          <w:rFonts w:ascii="Calibri" w:hAnsi="Calibri" w:cs="Calibri"/>
          <w:sz w:val="24"/>
          <w:szCs w:val="24"/>
        </w:rPr>
        <w:t>, 14.</w:t>
      </w:r>
    </w:p>
    <w:p w14:paraId="2E25EAB5"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Hastings, A. (2013). </w:t>
      </w:r>
      <w:r w:rsidRPr="00884283">
        <w:rPr>
          <w:rFonts w:ascii="Calibri" w:hAnsi="Calibri" w:cs="Calibri"/>
          <w:i/>
          <w:iCs/>
          <w:sz w:val="24"/>
          <w:szCs w:val="24"/>
        </w:rPr>
        <w:t>Population Biology: Concepts and Models</w:t>
      </w:r>
      <w:r w:rsidRPr="00884283">
        <w:rPr>
          <w:rFonts w:ascii="Calibri" w:hAnsi="Calibri" w:cs="Calibri"/>
          <w:sz w:val="24"/>
          <w:szCs w:val="24"/>
        </w:rPr>
        <w:t>. Springer Science &amp; Business Media.</w:t>
      </w:r>
    </w:p>
    <w:p w14:paraId="7FA9E6AF"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Hill, M. O. (1973). Diversity and Evenness: A Unifying Notation and Its Consequences. </w:t>
      </w:r>
      <w:r w:rsidRPr="00884283">
        <w:rPr>
          <w:rFonts w:ascii="Calibri" w:hAnsi="Calibri" w:cs="Calibri"/>
          <w:i/>
          <w:iCs/>
          <w:sz w:val="24"/>
          <w:szCs w:val="24"/>
        </w:rPr>
        <w:t>Ecology</w:t>
      </w:r>
      <w:r w:rsidRPr="00884283">
        <w:rPr>
          <w:rFonts w:ascii="Calibri" w:hAnsi="Calibri" w:cs="Calibri"/>
          <w:sz w:val="24"/>
          <w:szCs w:val="24"/>
        </w:rPr>
        <w:t xml:space="preserve">, </w:t>
      </w:r>
      <w:r w:rsidRPr="00884283">
        <w:rPr>
          <w:rFonts w:ascii="Calibri" w:hAnsi="Calibri" w:cs="Calibri"/>
          <w:i/>
          <w:iCs/>
          <w:sz w:val="24"/>
          <w:szCs w:val="24"/>
        </w:rPr>
        <w:t>54</w:t>
      </w:r>
      <w:r w:rsidRPr="00884283">
        <w:rPr>
          <w:rFonts w:ascii="Calibri" w:hAnsi="Calibri" w:cs="Calibri"/>
          <w:sz w:val="24"/>
          <w:szCs w:val="24"/>
        </w:rPr>
        <w:t>(2), 427–432. https://doi.org/10.2307/1934352</w:t>
      </w:r>
    </w:p>
    <w:p w14:paraId="3403CBF9"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Hooper, D. U., Chapin, F. S., </w:t>
      </w:r>
      <w:proofErr w:type="spellStart"/>
      <w:r w:rsidRPr="00884283">
        <w:rPr>
          <w:rFonts w:ascii="Calibri" w:hAnsi="Calibri" w:cs="Calibri"/>
          <w:sz w:val="24"/>
          <w:szCs w:val="24"/>
        </w:rPr>
        <w:t>Ewel</w:t>
      </w:r>
      <w:proofErr w:type="spellEnd"/>
      <w:r w:rsidRPr="00884283">
        <w:rPr>
          <w:rFonts w:ascii="Calibri" w:hAnsi="Calibri" w:cs="Calibri"/>
          <w:sz w:val="24"/>
          <w:szCs w:val="24"/>
        </w:rPr>
        <w:t xml:space="preserve">, J. J., Hector, A., Inchausti, P., </w:t>
      </w:r>
      <w:proofErr w:type="spellStart"/>
      <w:r w:rsidRPr="00884283">
        <w:rPr>
          <w:rFonts w:ascii="Calibri" w:hAnsi="Calibri" w:cs="Calibri"/>
          <w:sz w:val="24"/>
          <w:szCs w:val="24"/>
        </w:rPr>
        <w:t>Lavorel</w:t>
      </w:r>
      <w:proofErr w:type="spellEnd"/>
      <w:r w:rsidRPr="00884283">
        <w:rPr>
          <w:rFonts w:ascii="Calibri" w:hAnsi="Calibri" w:cs="Calibri"/>
          <w:sz w:val="24"/>
          <w:szCs w:val="24"/>
        </w:rPr>
        <w:t xml:space="preserve">, S., Lawton, J. H., Lodge, D. M., </w:t>
      </w:r>
      <w:proofErr w:type="spellStart"/>
      <w:r w:rsidRPr="00884283">
        <w:rPr>
          <w:rFonts w:ascii="Calibri" w:hAnsi="Calibri" w:cs="Calibri"/>
          <w:sz w:val="24"/>
          <w:szCs w:val="24"/>
        </w:rPr>
        <w:t>Loreau</w:t>
      </w:r>
      <w:proofErr w:type="spellEnd"/>
      <w:r w:rsidRPr="00884283">
        <w:rPr>
          <w:rFonts w:ascii="Calibri" w:hAnsi="Calibri" w:cs="Calibri"/>
          <w:sz w:val="24"/>
          <w:szCs w:val="24"/>
        </w:rPr>
        <w:t xml:space="preserve">, M., Naeem, S., Schmid, B., </w:t>
      </w:r>
      <w:proofErr w:type="spellStart"/>
      <w:r w:rsidRPr="00884283">
        <w:rPr>
          <w:rFonts w:ascii="Calibri" w:hAnsi="Calibri" w:cs="Calibri"/>
          <w:sz w:val="24"/>
          <w:szCs w:val="24"/>
        </w:rPr>
        <w:t>Setälä</w:t>
      </w:r>
      <w:proofErr w:type="spellEnd"/>
      <w:r w:rsidRPr="00884283">
        <w:rPr>
          <w:rFonts w:ascii="Calibri" w:hAnsi="Calibri" w:cs="Calibri"/>
          <w:sz w:val="24"/>
          <w:szCs w:val="24"/>
        </w:rPr>
        <w:t xml:space="preserve">, H., </w:t>
      </w:r>
      <w:proofErr w:type="spellStart"/>
      <w:r w:rsidRPr="00884283">
        <w:rPr>
          <w:rFonts w:ascii="Calibri" w:hAnsi="Calibri" w:cs="Calibri"/>
          <w:sz w:val="24"/>
          <w:szCs w:val="24"/>
        </w:rPr>
        <w:t>Symstad</w:t>
      </w:r>
      <w:proofErr w:type="spellEnd"/>
      <w:r w:rsidRPr="00884283">
        <w:rPr>
          <w:rFonts w:ascii="Calibri" w:hAnsi="Calibri" w:cs="Calibri"/>
          <w:sz w:val="24"/>
          <w:szCs w:val="24"/>
        </w:rPr>
        <w:t xml:space="preserve">, A. J., </w:t>
      </w:r>
      <w:proofErr w:type="spellStart"/>
      <w:r w:rsidRPr="00884283">
        <w:rPr>
          <w:rFonts w:ascii="Calibri" w:hAnsi="Calibri" w:cs="Calibri"/>
          <w:sz w:val="24"/>
          <w:szCs w:val="24"/>
        </w:rPr>
        <w:t>Vandermeer</w:t>
      </w:r>
      <w:proofErr w:type="spellEnd"/>
      <w:r w:rsidRPr="00884283">
        <w:rPr>
          <w:rFonts w:ascii="Calibri" w:hAnsi="Calibri" w:cs="Calibri"/>
          <w:sz w:val="24"/>
          <w:szCs w:val="24"/>
        </w:rPr>
        <w:t xml:space="preserve">, J., &amp; Wardle, D. A. (2005). Effects of Biodiversity on Ecosystem Functioning: A Consensus of Current Knowledge. </w:t>
      </w:r>
      <w:r w:rsidRPr="00884283">
        <w:rPr>
          <w:rFonts w:ascii="Calibri" w:hAnsi="Calibri" w:cs="Calibri"/>
          <w:i/>
          <w:iCs/>
          <w:sz w:val="24"/>
          <w:szCs w:val="24"/>
        </w:rPr>
        <w:t>Ecological Monographs</w:t>
      </w:r>
      <w:r w:rsidRPr="00884283">
        <w:rPr>
          <w:rFonts w:ascii="Calibri" w:hAnsi="Calibri" w:cs="Calibri"/>
          <w:sz w:val="24"/>
          <w:szCs w:val="24"/>
        </w:rPr>
        <w:t xml:space="preserve">, </w:t>
      </w:r>
      <w:r w:rsidRPr="00884283">
        <w:rPr>
          <w:rFonts w:ascii="Calibri" w:hAnsi="Calibri" w:cs="Calibri"/>
          <w:i/>
          <w:iCs/>
          <w:sz w:val="24"/>
          <w:szCs w:val="24"/>
        </w:rPr>
        <w:t>75</w:t>
      </w:r>
      <w:r w:rsidRPr="00884283">
        <w:rPr>
          <w:rFonts w:ascii="Calibri" w:hAnsi="Calibri" w:cs="Calibri"/>
          <w:sz w:val="24"/>
          <w:szCs w:val="24"/>
        </w:rPr>
        <w:t>(1), 3–35. https://doi.org/10.1890/04-0922</w:t>
      </w:r>
    </w:p>
    <w:p w14:paraId="10B4E7CD"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Hooten, M. B., &amp; Hobbs, N. T. (2015). A guide to Bayesian model selection for ecologists. </w:t>
      </w:r>
      <w:r w:rsidRPr="00884283">
        <w:rPr>
          <w:rFonts w:ascii="Calibri" w:hAnsi="Calibri" w:cs="Calibri"/>
          <w:i/>
          <w:iCs/>
          <w:sz w:val="24"/>
          <w:szCs w:val="24"/>
        </w:rPr>
        <w:t>Ecological Monographs</w:t>
      </w:r>
      <w:r w:rsidRPr="00884283">
        <w:rPr>
          <w:rFonts w:ascii="Calibri" w:hAnsi="Calibri" w:cs="Calibri"/>
          <w:sz w:val="24"/>
          <w:szCs w:val="24"/>
        </w:rPr>
        <w:t xml:space="preserve">, </w:t>
      </w:r>
      <w:r w:rsidRPr="00884283">
        <w:rPr>
          <w:rFonts w:ascii="Calibri" w:hAnsi="Calibri" w:cs="Calibri"/>
          <w:i/>
          <w:iCs/>
          <w:sz w:val="24"/>
          <w:szCs w:val="24"/>
        </w:rPr>
        <w:t>85</w:t>
      </w:r>
      <w:r w:rsidRPr="00884283">
        <w:rPr>
          <w:rFonts w:ascii="Calibri" w:hAnsi="Calibri" w:cs="Calibri"/>
          <w:sz w:val="24"/>
          <w:szCs w:val="24"/>
        </w:rPr>
        <w:t>(1), 3–28. https://doi.org/10.1890/14-0661.1</w:t>
      </w:r>
    </w:p>
    <w:p w14:paraId="072D5CDF" w14:textId="77777777" w:rsidR="00884283" w:rsidRPr="00884283" w:rsidRDefault="00884283" w:rsidP="00884283">
      <w:pPr>
        <w:pStyle w:val="Bibliography"/>
        <w:rPr>
          <w:rFonts w:ascii="Calibri" w:hAnsi="Calibri" w:cs="Calibri"/>
          <w:sz w:val="24"/>
          <w:szCs w:val="24"/>
        </w:rPr>
      </w:pPr>
      <w:proofErr w:type="spellStart"/>
      <w:r w:rsidRPr="00884283">
        <w:rPr>
          <w:rFonts w:ascii="Calibri" w:hAnsi="Calibri" w:cs="Calibri"/>
          <w:sz w:val="24"/>
          <w:szCs w:val="24"/>
        </w:rPr>
        <w:t>Hurlbert</w:t>
      </w:r>
      <w:proofErr w:type="spellEnd"/>
      <w:r w:rsidRPr="00884283">
        <w:rPr>
          <w:rFonts w:ascii="Calibri" w:hAnsi="Calibri" w:cs="Calibri"/>
          <w:sz w:val="24"/>
          <w:szCs w:val="24"/>
        </w:rPr>
        <w:t xml:space="preserve">, S. H. (1971). The </w:t>
      </w:r>
      <w:proofErr w:type="spellStart"/>
      <w:r w:rsidRPr="00884283">
        <w:rPr>
          <w:rFonts w:ascii="Calibri" w:hAnsi="Calibri" w:cs="Calibri"/>
          <w:sz w:val="24"/>
          <w:szCs w:val="24"/>
        </w:rPr>
        <w:t>Nonconcept</w:t>
      </w:r>
      <w:proofErr w:type="spellEnd"/>
      <w:r w:rsidRPr="00884283">
        <w:rPr>
          <w:rFonts w:ascii="Calibri" w:hAnsi="Calibri" w:cs="Calibri"/>
          <w:sz w:val="24"/>
          <w:szCs w:val="24"/>
        </w:rPr>
        <w:t xml:space="preserve"> of Species Diversity: A Critique and Alternative Parameters. </w:t>
      </w:r>
      <w:r w:rsidRPr="00884283">
        <w:rPr>
          <w:rFonts w:ascii="Calibri" w:hAnsi="Calibri" w:cs="Calibri"/>
          <w:i/>
          <w:iCs/>
          <w:sz w:val="24"/>
          <w:szCs w:val="24"/>
        </w:rPr>
        <w:t>Ecology</w:t>
      </w:r>
      <w:r w:rsidRPr="00884283">
        <w:rPr>
          <w:rFonts w:ascii="Calibri" w:hAnsi="Calibri" w:cs="Calibri"/>
          <w:sz w:val="24"/>
          <w:szCs w:val="24"/>
        </w:rPr>
        <w:t xml:space="preserve">, </w:t>
      </w:r>
      <w:r w:rsidRPr="00884283">
        <w:rPr>
          <w:rFonts w:ascii="Calibri" w:hAnsi="Calibri" w:cs="Calibri"/>
          <w:i/>
          <w:iCs/>
          <w:sz w:val="24"/>
          <w:szCs w:val="24"/>
        </w:rPr>
        <w:t>52</w:t>
      </w:r>
      <w:r w:rsidRPr="00884283">
        <w:rPr>
          <w:rFonts w:ascii="Calibri" w:hAnsi="Calibri" w:cs="Calibri"/>
          <w:sz w:val="24"/>
          <w:szCs w:val="24"/>
        </w:rPr>
        <w:t>(4), 577–586. https://doi.org/10.2307/1934145</w:t>
      </w:r>
    </w:p>
    <w:p w14:paraId="72508FBB" w14:textId="77777777" w:rsidR="00884283" w:rsidRPr="00884283" w:rsidRDefault="00884283" w:rsidP="00884283">
      <w:pPr>
        <w:pStyle w:val="Bibliography"/>
        <w:rPr>
          <w:rFonts w:ascii="Calibri" w:hAnsi="Calibri" w:cs="Calibri"/>
          <w:sz w:val="24"/>
          <w:szCs w:val="24"/>
        </w:rPr>
      </w:pPr>
      <w:proofErr w:type="spellStart"/>
      <w:r w:rsidRPr="00884283">
        <w:rPr>
          <w:rFonts w:ascii="Calibri" w:hAnsi="Calibri" w:cs="Calibri"/>
          <w:sz w:val="24"/>
          <w:szCs w:val="24"/>
        </w:rPr>
        <w:t>Jonsen</w:t>
      </w:r>
      <w:proofErr w:type="spellEnd"/>
      <w:r w:rsidRPr="00884283">
        <w:rPr>
          <w:rFonts w:ascii="Calibri" w:hAnsi="Calibri" w:cs="Calibri"/>
          <w:sz w:val="24"/>
          <w:szCs w:val="24"/>
        </w:rPr>
        <w:t xml:space="preserve">, I. D., </w:t>
      </w:r>
      <w:proofErr w:type="spellStart"/>
      <w:r w:rsidRPr="00884283">
        <w:rPr>
          <w:rFonts w:ascii="Calibri" w:hAnsi="Calibri" w:cs="Calibri"/>
          <w:sz w:val="24"/>
          <w:szCs w:val="24"/>
        </w:rPr>
        <w:t>Basson</w:t>
      </w:r>
      <w:proofErr w:type="spellEnd"/>
      <w:r w:rsidRPr="00884283">
        <w:rPr>
          <w:rFonts w:ascii="Calibri" w:hAnsi="Calibri" w:cs="Calibri"/>
          <w:sz w:val="24"/>
          <w:szCs w:val="24"/>
        </w:rPr>
        <w:t xml:space="preserve">, M., </w:t>
      </w:r>
      <w:proofErr w:type="spellStart"/>
      <w:r w:rsidRPr="00884283">
        <w:rPr>
          <w:rFonts w:ascii="Calibri" w:hAnsi="Calibri" w:cs="Calibri"/>
          <w:sz w:val="24"/>
          <w:szCs w:val="24"/>
        </w:rPr>
        <w:t>Bestley</w:t>
      </w:r>
      <w:proofErr w:type="spellEnd"/>
      <w:r w:rsidRPr="00884283">
        <w:rPr>
          <w:rFonts w:ascii="Calibri" w:hAnsi="Calibri" w:cs="Calibri"/>
          <w:sz w:val="24"/>
          <w:szCs w:val="24"/>
        </w:rPr>
        <w:t xml:space="preserve">, S., </w:t>
      </w:r>
      <w:proofErr w:type="spellStart"/>
      <w:r w:rsidRPr="00884283">
        <w:rPr>
          <w:rFonts w:ascii="Calibri" w:hAnsi="Calibri" w:cs="Calibri"/>
          <w:sz w:val="24"/>
          <w:szCs w:val="24"/>
        </w:rPr>
        <w:t>Bravington</w:t>
      </w:r>
      <w:proofErr w:type="spellEnd"/>
      <w:r w:rsidRPr="00884283">
        <w:rPr>
          <w:rFonts w:ascii="Calibri" w:hAnsi="Calibri" w:cs="Calibri"/>
          <w:sz w:val="24"/>
          <w:szCs w:val="24"/>
        </w:rPr>
        <w:t xml:space="preserve">, M. V., Patterson, T. A., Pedersen, M. W., Thomson, R., </w:t>
      </w:r>
      <w:proofErr w:type="spellStart"/>
      <w:r w:rsidRPr="00884283">
        <w:rPr>
          <w:rFonts w:ascii="Calibri" w:hAnsi="Calibri" w:cs="Calibri"/>
          <w:sz w:val="24"/>
          <w:szCs w:val="24"/>
        </w:rPr>
        <w:t>Thygesen</w:t>
      </w:r>
      <w:proofErr w:type="spellEnd"/>
      <w:r w:rsidRPr="00884283">
        <w:rPr>
          <w:rFonts w:ascii="Calibri" w:hAnsi="Calibri" w:cs="Calibri"/>
          <w:sz w:val="24"/>
          <w:szCs w:val="24"/>
        </w:rPr>
        <w:t xml:space="preserve">, U. H., &amp; </w:t>
      </w:r>
      <w:proofErr w:type="spellStart"/>
      <w:r w:rsidRPr="00884283">
        <w:rPr>
          <w:rFonts w:ascii="Calibri" w:hAnsi="Calibri" w:cs="Calibri"/>
          <w:sz w:val="24"/>
          <w:szCs w:val="24"/>
        </w:rPr>
        <w:t>Wotherspoon</w:t>
      </w:r>
      <w:proofErr w:type="spellEnd"/>
      <w:r w:rsidRPr="00884283">
        <w:rPr>
          <w:rFonts w:ascii="Calibri" w:hAnsi="Calibri" w:cs="Calibri"/>
          <w:sz w:val="24"/>
          <w:szCs w:val="24"/>
        </w:rPr>
        <w:t xml:space="preserve">, S. J. (2013). State-space models for bio-loggers: A methodological road map. </w:t>
      </w:r>
      <w:r w:rsidRPr="00884283">
        <w:rPr>
          <w:rFonts w:ascii="Calibri" w:hAnsi="Calibri" w:cs="Calibri"/>
          <w:i/>
          <w:iCs/>
          <w:sz w:val="24"/>
          <w:szCs w:val="24"/>
        </w:rPr>
        <w:t>Deep Sea Research Part II: Topical Studies in Oceanography</w:t>
      </w:r>
      <w:r w:rsidRPr="00884283">
        <w:rPr>
          <w:rFonts w:ascii="Calibri" w:hAnsi="Calibri" w:cs="Calibri"/>
          <w:sz w:val="24"/>
          <w:szCs w:val="24"/>
        </w:rPr>
        <w:t xml:space="preserve">, </w:t>
      </w:r>
      <w:r w:rsidRPr="00884283">
        <w:rPr>
          <w:rFonts w:ascii="Calibri" w:hAnsi="Calibri" w:cs="Calibri"/>
          <w:i/>
          <w:iCs/>
          <w:sz w:val="24"/>
          <w:szCs w:val="24"/>
        </w:rPr>
        <w:t>88–89</w:t>
      </w:r>
      <w:r w:rsidRPr="00884283">
        <w:rPr>
          <w:rFonts w:ascii="Calibri" w:hAnsi="Calibri" w:cs="Calibri"/>
          <w:sz w:val="24"/>
          <w:szCs w:val="24"/>
        </w:rPr>
        <w:t>, 34–46. https://doi.org/10.1016/j.dsr2.2012.07.008</w:t>
      </w:r>
    </w:p>
    <w:p w14:paraId="17A6E608" w14:textId="77777777" w:rsidR="00884283" w:rsidRPr="00884283" w:rsidRDefault="00884283" w:rsidP="00884283">
      <w:pPr>
        <w:pStyle w:val="Bibliography"/>
        <w:rPr>
          <w:rFonts w:ascii="Calibri" w:hAnsi="Calibri" w:cs="Calibri"/>
          <w:sz w:val="24"/>
          <w:szCs w:val="24"/>
        </w:rPr>
      </w:pPr>
      <w:proofErr w:type="spellStart"/>
      <w:r w:rsidRPr="00884283">
        <w:rPr>
          <w:rFonts w:ascii="Calibri" w:hAnsi="Calibri" w:cs="Calibri"/>
          <w:sz w:val="24"/>
          <w:szCs w:val="24"/>
        </w:rPr>
        <w:lastRenderedPageBreak/>
        <w:t>Jost</w:t>
      </w:r>
      <w:proofErr w:type="spellEnd"/>
      <w:r w:rsidRPr="00884283">
        <w:rPr>
          <w:rFonts w:ascii="Calibri" w:hAnsi="Calibri" w:cs="Calibri"/>
          <w:sz w:val="24"/>
          <w:szCs w:val="24"/>
        </w:rPr>
        <w:t xml:space="preserve">, L. (2006). </w:t>
      </w:r>
      <w:r w:rsidRPr="00884283">
        <w:rPr>
          <w:rFonts w:ascii="Calibri" w:hAnsi="Calibri" w:cs="Calibri"/>
          <w:i/>
          <w:iCs/>
          <w:sz w:val="24"/>
          <w:szCs w:val="24"/>
        </w:rPr>
        <w:t>Entropy and diversity</w:t>
      </w:r>
      <w:r w:rsidRPr="00884283">
        <w:rPr>
          <w:rFonts w:ascii="Calibri" w:hAnsi="Calibri" w:cs="Calibri"/>
          <w:sz w:val="24"/>
          <w:szCs w:val="24"/>
        </w:rPr>
        <w:t xml:space="preserve">. </w:t>
      </w:r>
      <w:r w:rsidRPr="00884283">
        <w:rPr>
          <w:rFonts w:ascii="Calibri" w:hAnsi="Calibri" w:cs="Calibri"/>
          <w:i/>
          <w:iCs/>
          <w:sz w:val="24"/>
          <w:szCs w:val="24"/>
        </w:rPr>
        <w:t>Oikos</w:t>
      </w:r>
      <w:r w:rsidRPr="00884283">
        <w:rPr>
          <w:rFonts w:ascii="Calibri" w:hAnsi="Calibri" w:cs="Calibri"/>
          <w:sz w:val="24"/>
          <w:szCs w:val="24"/>
        </w:rPr>
        <w:t xml:space="preserve">, </w:t>
      </w:r>
      <w:r w:rsidRPr="00884283">
        <w:rPr>
          <w:rFonts w:ascii="Calibri" w:hAnsi="Calibri" w:cs="Calibri"/>
          <w:i/>
          <w:iCs/>
          <w:sz w:val="24"/>
          <w:szCs w:val="24"/>
        </w:rPr>
        <w:t>113</w:t>
      </w:r>
      <w:r w:rsidRPr="00884283">
        <w:rPr>
          <w:rFonts w:ascii="Calibri" w:hAnsi="Calibri" w:cs="Calibri"/>
          <w:sz w:val="24"/>
          <w:szCs w:val="24"/>
        </w:rPr>
        <w:t>(2), 363–375. https://doi.org/10.1111/j.2006.0030-1299.14714.x</w:t>
      </w:r>
    </w:p>
    <w:p w14:paraId="78D3865D" w14:textId="77777777" w:rsidR="00884283" w:rsidRPr="00884283" w:rsidRDefault="00884283" w:rsidP="00884283">
      <w:pPr>
        <w:pStyle w:val="Bibliography"/>
        <w:rPr>
          <w:rFonts w:ascii="Calibri" w:hAnsi="Calibri" w:cs="Calibri"/>
          <w:sz w:val="24"/>
          <w:szCs w:val="24"/>
        </w:rPr>
      </w:pPr>
      <w:proofErr w:type="spellStart"/>
      <w:r w:rsidRPr="00884283">
        <w:rPr>
          <w:rFonts w:ascii="Calibri" w:hAnsi="Calibri" w:cs="Calibri"/>
          <w:sz w:val="24"/>
          <w:szCs w:val="24"/>
        </w:rPr>
        <w:t>Kéry</w:t>
      </w:r>
      <w:proofErr w:type="spellEnd"/>
      <w:r w:rsidRPr="00884283">
        <w:rPr>
          <w:rFonts w:ascii="Calibri" w:hAnsi="Calibri" w:cs="Calibri"/>
          <w:sz w:val="24"/>
          <w:szCs w:val="24"/>
        </w:rPr>
        <w:t xml:space="preserve">, M., &amp; Schaub, M. (2011). </w:t>
      </w:r>
      <w:r w:rsidRPr="00884283">
        <w:rPr>
          <w:rFonts w:ascii="Calibri" w:hAnsi="Calibri" w:cs="Calibri"/>
          <w:i/>
          <w:iCs/>
          <w:sz w:val="24"/>
          <w:szCs w:val="24"/>
        </w:rPr>
        <w:t xml:space="preserve">Bayesian Population Analysis using </w:t>
      </w:r>
      <w:proofErr w:type="spellStart"/>
      <w:r w:rsidRPr="00884283">
        <w:rPr>
          <w:rFonts w:ascii="Calibri" w:hAnsi="Calibri" w:cs="Calibri"/>
          <w:i/>
          <w:iCs/>
          <w:sz w:val="24"/>
          <w:szCs w:val="24"/>
        </w:rPr>
        <w:t>WinBUGS</w:t>
      </w:r>
      <w:proofErr w:type="spellEnd"/>
      <w:r w:rsidRPr="00884283">
        <w:rPr>
          <w:rFonts w:ascii="Calibri" w:hAnsi="Calibri" w:cs="Calibri"/>
          <w:i/>
          <w:iCs/>
          <w:sz w:val="24"/>
          <w:szCs w:val="24"/>
        </w:rPr>
        <w:t xml:space="preserve"> ‐</w:t>
      </w:r>
      <w:r w:rsidRPr="00884283">
        <w:rPr>
          <w:rFonts w:ascii="Calibri" w:hAnsi="Calibri" w:cs="Calibri"/>
          <w:sz w:val="24"/>
          <w:szCs w:val="24"/>
        </w:rPr>
        <w:t>. 444.</w:t>
      </w:r>
    </w:p>
    <w:p w14:paraId="65D6863C" w14:textId="77777777" w:rsidR="00884283" w:rsidRPr="00884283" w:rsidRDefault="00884283" w:rsidP="00884283">
      <w:pPr>
        <w:pStyle w:val="Bibliography"/>
        <w:rPr>
          <w:rFonts w:ascii="Calibri" w:hAnsi="Calibri" w:cs="Calibri"/>
          <w:sz w:val="24"/>
          <w:szCs w:val="24"/>
        </w:rPr>
      </w:pPr>
      <w:proofErr w:type="spellStart"/>
      <w:r w:rsidRPr="00884283">
        <w:rPr>
          <w:rFonts w:ascii="Calibri" w:hAnsi="Calibri" w:cs="Calibri"/>
          <w:sz w:val="24"/>
          <w:szCs w:val="24"/>
        </w:rPr>
        <w:t>Lele</w:t>
      </w:r>
      <w:proofErr w:type="spellEnd"/>
      <w:r w:rsidRPr="00884283">
        <w:rPr>
          <w:rFonts w:ascii="Calibri" w:hAnsi="Calibri" w:cs="Calibri"/>
          <w:sz w:val="24"/>
          <w:szCs w:val="24"/>
        </w:rPr>
        <w:t xml:space="preserve">, S. R., &amp; Dennis, B. (2009). Bayesian Methods for Hierarchical Models: Are Ecologists Making a Faustian Bargain? </w:t>
      </w:r>
      <w:r w:rsidRPr="00884283">
        <w:rPr>
          <w:rFonts w:ascii="Calibri" w:hAnsi="Calibri" w:cs="Calibri"/>
          <w:i/>
          <w:iCs/>
          <w:sz w:val="24"/>
          <w:szCs w:val="24"/>
        </w:rPr>
        <w:t>Ecological Applications</w:t>
      </w:r>
      <w:r w:rsidRPr="00884283">
        <w:rPr>
          <w:rFonts w:ascii="Calibri" w:hAnsi="Calibri" w:cs="Calibri"/>
          <w:sz w:val="24"/>
          <w:szCs w:val="24"/>
        </w:rPr>
        <w:t xml:space="preserve">, </w:t>
      </w:r>
      <w:r w:rsidRPr="00884283">
        <w:rPr>
          <w:rFonts w:ascii="Calibri" w:hAnsi="Calibri" w:cs="Calibri"/>
          <w:i/>
          <w:iCs/>
          <w:sz w:val="24"/>
          <w:szCs w:val="24"/>
        </w:rPr>
        <w:t>19</w:t>
      </w:r>
      <w:r w:rsidRPr="00884283">
        <w:rPr>
          <w:rFonts w:ascii="Calibri" w:hAnsi="Calibri" w:cs="Calibri"/>
          <w:sz w:val="24"/>
          <w:szCs w:val="24"/>
        </w:rPr>
        <w:t>(3), 581–584.</w:t>
      </w:r>
    </w:p>
    <w:p w14:paraId="71E88DBA" w14:textId="77777777" w:rsidR="00884283" w:rsidRPr="00884283" w:rsidRDefault="00884283" w:rsidP="00884283">
      <w:pPr>
        <w:pStyle w:val="Bibliography"/>
        <w:rPr>
          <w:rFonts w:ascii="Calibri" w:hAnsi="Calibri" w:cs="Calibri"/>
          <w:sz w:val="24"/>
          <w:szCs w:val="24"/>
        </w:rPr>
      </w:pPr>
      <w:proofErr w:type="spellStart"/>
      <w:r w:rsidRPr="00884283">
        <w:rPr>
          <w:rFonts w:ascii="Calibri" w:hAnsi="Calibri" w:cs="Calibri"/>
          <w:sz w:val="24"/>
          <w:szCs w:val="24"/>
        </w:rPr>
        <w:t>Magurran</w:t>
      </w:r>
      <w:proofErr w:type="spellEnd"/>
      <w:r w:rsidRPr="00884283">
        <w:rPr>
          <w:rFonts w:ascii="Calibri" w:hAnsi="Calibri" w:cs="Calibri"/>
          <w:sz w:val="24"/>
          <w:szCs w:val="24"/>
        </w:rPr>
        <w:t xml:space="preserve">, A. E. (2013). </w:t>
      </w:r>
      <w:r w:rsidRPr="00884283">
        <w:rPr>
          <w:rFonts w:ascii="Calibri" w:hAnsi="Calibri" w:cs="Calibri"/>
          <w:i/>
          <w:iCs/>
          <w:sz w:val="24"/>
          <w:szCs w:val="24"/>
        </w:rPr>
        <w:t>Measuring Biological Diversity</w:t>
      </w:r>
      <w:r w:rsidRPr="00884283">
        <w:rPr>
          <w:rFonts w:ascii="Calibri" w:hAnsi="Calibri" w:cs="Calibri"/>
          <w:sz w:val="24"/>
          <w:szCs w:val="24"/>
        </w:rPr>
        <w:t>. John Wiley &amp; Sons.</w:t>
      </w:r>
    </w:p>
    <w:p w14:paraId="019201EC"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McRae, L., </w:t>
      </w:r>
      <w:proofErr w:type="spellStart"/>
      <w:r w:rsidRPr="00884283">
        <w:rPr>
          <w:rFonts w:ascii="Calibri" w:hAnsi="Calibri" w:cs="Calibri"/>
          <w:sz w:val="24"/>
          <w:szCs w:val="24"/>
        </w:rPr>
        <w:t>Deinet</w:t>
      </w:r>
      <w:proofErr w:type="spellEnd"/>
      <w:r w:rsidRPr="00884283">
        <w:rPr>
          <w:rFonts w:ascii="Calibri" w:hAnsi="Calibri" w:cs="Calibri"/>
          <w:sz w:val="24"/>
          <w:szCs w:val="24"/>
        </w:rPr>
        <w:t xml:space="preserve">, S., &amp; Freeman, R. (2017). The Diversity-Weighted Living Planet Index: Controlling for Taxonomic Bias in a Global Biodiversity Indicator. </w:t>
      </w:r>
      <w:r w:rsidRPr="00884283">
        <w:rPr>
          <w:rFonts w:ascii="Calibri" w:hAnsi="Calibri" w:cs="Calibri"/>
          <w:i/>
          <w:iCs/>
          <w:sz w:val="24"/>
          <w:szCs w:val="24"/>
        </w:rPr>
        <w:t>PLOS ONE</w:t>
      </w:r>
      <w:r w:rsidRPr="00884283">
        <w:rPr>
          <w:rFonts w:ascii="Calibri" w:hAnsi="Calibri" w:cs="Calibri"/>
          <w:sz w:val="24"/>
          <w:szCs w:val="24"/>
        </w:rPr>
        <w:t xml:space="preserve">, </w:t>
      </w:r>
      <w:r w:rsidRPr="00884283">
        <w:rPr>
          <w:rFonts w:ascii="Calibri" w:hAnsi="Calibri" w:cs="Calibri"/>
          <w:i/>
          <w:iCs/>
          <w:sz w:val="24"/>
          <w:szCs w:val="24"/>
        </w:rPr>
        <w:t>12</w:t>
      </w:r>
      <w:r w:rsidRPr="00884283">
        <w:rPr>
          <w:rFonts w:ascii="Calibri" w:hAnsi="Calibri" w:cs="Calibri"/>
          <w:sz w:val="24"/>
          <w:szCs w:val="24"/>
        </w:rPr>
        <w:t>(1), e0169156. https://doi.org/10.1371/journal.pone.0169156</w:t>
      </w:r>
    </w:p>
    <w:p w14:paraId="59607D32" w14:textId="77777777" w:rsidR="00884283" w:rsidRPr="00884283" w:rsidRDefault="00884283" w:rsidP="00884283">
      <w:pPr>
        <w:pStyle w:val="Bibliography"/>
        <w:rPr>
          <w:rFonts w:ascii="Calibri" w:hAnsi="Calibri" w:cs="Calibri"/>
          <w:sz w:val="24"/>
          <w:szCs w:val="24"/>
        </w:rPr>
      </w:pPr>
      <w:proofErr w:type="spellStart"/>
      <w:r w:rsidRPr="00884283">
        <w:rPr>
          <w:rFonts w:ascii="Calibri" w:hAnsi="Calibri" w:cs="Calibri"/>
          <w:sz w:val="24"/>
          <w:szCs w:val="24"/>
        </w:rPr>
        <w:t>Mekonen</w:t>
      </w:r>
      <w:proofErr w:type="spellEnd"/>
      <w:r w:rsidRPr="00884283">
        <w:rPr>
          <w:rFonts w:ascii="Calibri" w:hAnsi="Calibri" w:cs="Calibri"/>
          <w:sz w:val="24"/>
          <w:szCs w:val="24"/>
        </w:rPr>
        <w:t xml:space="preserve">, S. (2017). </w:t>
      </w:r>
      <w:r w:rsidRPr="00884283">
        <w:rPr>
          <w:rFonts w:ascii="Calibri" w:hAnsi="Calibri" w:cs="Calibri"/>
          <w:i/>
          <w:iCs/>
          <w:sz w:val="24"/>
          <w:szCs w:val="24"/>
        </w:rPr>
        <w:t>Birds as Biodiversity and Environmental Indicator</w:t>
      </w:r>
      <w:r w:rsidRPr="00884283">
        <w:rPr>
          <w:rFonts w:ascii="Calibri" w:hAnsi="Calibri" w:cs="Calibri"/>
          <w:sz w:val="24"/>
          <w:szCs w:val="24"/>
        </w:rPr>
        <w:t xml:space="preserve">. </w:t>
      </w:r>
      <w:r w:rsidRPr="00884283">
        <w:rPr>
          <w:rFonts w:ascii="Calibri" w:hAnsi="Calibri" w:cs="Calibri"/>
          <w:i/>
          <w:iCs/>
          <w:sz w:val="24"/>
          <w:szCs w:val="24"/>
        </w:rPr>
        <w:t>7</w:t>
      </w:r>
      <w:r w:rsidRPr="00884283">
        <w:rPr>
          <w:rFonts w:ascii="Calibri" w:hAnsi="Calibri" w:cs="Calibri"/>
          <w:sz w:val="24"/>
          <w:szCs w:val="24"/>
        </w:rPr>
        <w:t>. https://core.ac.uk/reader/234657570</w:t>
      </w:r>
    </w:p>
    <w:p w14:paraId="65AFC56C"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Morris, E. K., Caruso, T., </w:t>
      </w:r>
      <w:proofErr w:type="spellStart"/>
      <w:r w:rsidRPr="00884283">
        <w:rPr>
          <w:rFonts w:ascii="Calibri" w:hAnsi="Calibri" w:cs="Calibri"/>
          <w:sz w:val="24"/>
          <w:szCs w:val="24"/>
        </w:rPr>
        <w:t>Buscot</w:t>
      </w:r>
      <w:proofErr w:type="spellEnd"/>
      <w:r w:rsidRPr="00884283">
        <w:rPr>
          <w:rFonts w:ascii="Calibri" w:hAnsi="Calibri" w:cs="Calibri"/>
          <w:sz w:val="24"/>
          <w:szCs w:val="24"/>
        </w:rPr>
        <w:t xml:space="preserve">, F., Fischer, M., Hancock, C., Maier, T. S., Meiners, T., Müller, C., </w:t>
      </w:r>
      <w:proofErr w:type="spellStart"/>
      <w:r w:rsidRPr="00884283">
        <w:rPr>
          <w:rFonts w:ascii="Calibri" w:hAnsi="Calibri" w:cs="Calibri"/>
          <w:sz w:val="24"/>
          <w:szCs w:val="24"/>
        </w:rPr>
        <w:t>Obermaier</w:t>
      </w:r>
      <w:proofErr w:type="spellEnd"/>
      <w:r w:rsidRPr="00884283">
        <w:rPr>
          <w:rFonts w:ascii="Calibri" w:hAnsi="Calibri" w:cs="Calibri"/>
          <w:sz w:val="24"/>
          <w:szCs w:val="24"/>
        </w:rPr>
        <w:t xml:space="preserve">, E., </w:t>
      </w:r>
      <w:proofErr w:type="spellStart"/>
      <w:r w:rsidRPr="00884283">
        <w:rPr>
          <w:rFonts w:ascii="Calibri" w:hAnsi="Calibri" w:cs="Calibri"/>
          <w:sz w:val="24"/>
          <w:szCs w:val="24"/>
        </w:rPr>
        <w:t>Prati</w:t>
      </w:r>
      <w:proofErr w:type="spellEnd"/>
      <w:r w:rsidRPr="00884283">
        <w:rPr>
          <w:rFonts w:ascii="Calibri" w:hAnsi="Calibri" w:cs="Calibri"/>
          <w:sz w:val="24"/>
          <w:szCs w:val="24"/>
        </w:rPr>
        <w:t xml:space="preserve">, D., </w:t>
      </w:r>
      <w:proofErr w:type="spellStart"/>
      <w:r w:rsidRPr="00884283">
        <w:rPr>
          <w:rFonts w:ascii="Calibri" w:hAnsi="Calibri" w:cs="Calibri"/>
          <w:sz w:val="24"/>
          <w:szCs w:val="24"/>
        </w:rPr>
        <w:t>Socher</w:t>
      </w:r>
      <w:proofErr w:type="spellEnd"/>
      <w:r w:rsidRPr="00884283">
        <w:rPr>
          <w:rFonts w:ascii="Calibri" w:hAnsi="Calibri" w:cs="Calibri"/>
          <w:sz w:val="24"/>
          <w:szCs w:val="24"/>
        </w:rPr>
        <w:t xml:space="preserve">, S. A., </w:t>
      </w:r>
      <w:proofErr w:type="spellStart"/>
      <w:r w:rsidRPr="00884283">
        <w:rPr>
          <w:rFonts w:ascii="Calibri" w:hAnsi="Calibri" w:cs="Calibri"/>
          <w:sz w:val="24"/>
          <w:szCs w:val="24"/>
        </w:rPr>
        <w:t>Sonnemann</w:t>
      </w:r>
      <w:proofErr w:type="spellEnd"/>
      <w:r w:rsidRPr="00884283">
        <w:rPr>
          <w:rFonts w:ascii="Calibri" w:hAnsi="Calibri" w:cs="Calibri"/>
          <w:sz w:val="24"/>
          <w:szCs w:val="24"/>
        </w:rPr>
        <w:t xml:space="preserve">, I., </w:t>
      </w:r>
      <w:proofErr w:type="spellStart"/>
      <w:r w:rsidRPr="00884283">
        <w:rPr>
          <w:rFonts w:ascii="Calibri" w:hAnsi="Calibri" w:cs="Calibri"/>
          <w:sz w:val="24"/>
          <w:szCs w:val="24"/>
        </w:rPr>
        <w:t>Wäschke</w:t>
      </w:r>
      <w:proofErr w:type="spellEnd"/>
      <w:r w:rsidRPr="00884283">
        <w:rPr>
          <w:rFonts w:ascii="Calibri" w:hAnsi="Calibri" w:cs="Calibri"/>
          <w:sz w:val="24"/>
          <w:szCs w:val="24"/>
        </w:rPr>
        <w:t xml:space="preserve">, N., </w:t>
      </w:r>
      <w:proofErr w:type="spellStart"/>
      <w:r w:rsidRPr="00884283">
        <w:rPr>
          <w:rFonts w:ascii="Calibri" w:hAnsi="Calibri" w:cs="Calibri"/>
          <w:sz w:val="24"/>
          <w:szCs w:val="24"/>
        </w:rPr>
        <w:t>Wubet</w:t>
      </w:r>
      <w:proofErr w:type="spellEnd"/>
      <w:r w:rsidRPr="00884283">
        <w:rPr>
          <w:rFonts w:ascii="Calibri" w:hAnsi="Calibri" w:cs="Calibri"/>
          <w:sz w:val="24"/>
          <w:szCs w:val="24"/>
        </w:rPr>
        <w:t xml:space="preserve">, T., Wurst, S., &amp; </w:t>
      </w:r>
      <w:proofErr w:type="spellStart"/>
      <w:r w:rsidRPr="00884283">
        <w:rPr>
          <w:rFonts w:ascii="Calibri" w:hAnsi="Calibri" w:cs="Calibri"/>
          <w:sz w:val="24"/>
          <w:szCs w:val="24"/>
        </w:rPr>
        <w:t>Rillig</w:t>
      </w:r>
      <w:proofErr w:type="spellEnd"/>
      <w:r w:rsidRPr="00884283">
        <w:rPr>
          <w:rFonts w:ascii="Calibri" w:hAnsi="Calibri" w:cs="Calibri"/>
          <w:sz w:val="24"/>
          <w:szCs w:val="24"/>
        </w:rPr>
        <w:t xml:space="preserve">, M. C. (2014). Choosing and using diversity indices: Insights for ecological applications from the German Biodiversity </w:t>
      </w:r>
      <w:proofErr w:type="spellStart"/>
      <w:r w:rsidRPr="00884283">
        <w:rPr>
          <w:rFonts w:ascii="Calibri" w:hAnsi="Calibri" w:cs="Calibri"/>
          <w:sz w:val="24"/>
          <w:szCs w:val="24"/>
        </w:rPr>
        <w:t>Exploratories</w:t>
      </w:r>
      <w:proofErr w:type="spellEnd"/>
      <w:r w:rsidRPr="00884283">
        <w:rPr>
          <w:rFonts w:ascii="Calibri" w:hAnsi="Calibri" w:cs="Calibri"/>
          <w:sz w:val="24"/>
          <w:szCs w:val="24"/>
        </w:rPr>
        <w:t xml:space="preserve">. </w:t>
      </w:r>
      <w:r w:rsidRPr="00884283">
        <w:rPr>
          <w:rFonts w:ascii="Calibri" w:hAnsi="Calibri" w:cs="Calibri"/>
          <w:i/>
          <w:iCs/>
          <w:sz w:val="24"/>
          <w:szCs w:val="24"/>
        </w:rPr>
        <w:t>Ecology and Evolution</w:t>
      </w:r>
      <w:r w:rsidRPr="00884283">
        <w:rPr>
          <w:rFonts w:ascii="Calibri" w:hAnsi="Calibri" w:cs="Calibri"/>
          <w:sz w:val="24"/>
          <w:szCs w:val="24"/>
        </w:rPr>
        <w:t xml:space="preserve">, </w:t>
      </w:r>
      <w:r w:rsidRPr="00884283">
        <w:rPr>
          <w:rFonts w:ascii="Calibri" w:hAnsi="Calibri" w:cs="Calibri"/>
          <w:i/>
          <w:iCs/>
          <w:sz w:val="24"/>
          <w:szCs w:val="24"/>
        </w:rPr>
        <w:t>4</w:t>
      </w:r>
      <w:r w:rsidRPr="00884283">
        <w:rPr>
          <w:rFonts w:ascii="Calibri" w:hAnsi="Calibri" w:cs="Calibri"/>
          <w:sz w:val="24"/>
          <w:szCs w:val="24"/>
        </w:rPr>
        <w:t>(18), 3514–3524. https://doi.org/10.1002/ece3.1155</w:t>
      </w:r>
    </w:p>
    <w:p w14:paraId="2335B8DF"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Newman, K. B., Buckland, S. T., Morgan, B. J. T., King, R., Borchers, D. L., Cole, D. J., </w:t>
      </w:r>
      <w:proofErr w:type="spellStart"/>
      <w:r w:rsidRPr="00884283">
        <w:rPr>
          <w:rFonts w:ascii="Calibri" w:hAnsi="Calibri" w:cs="Calibri"/>
          <w:sz w:val="24"/>
          <w:szCs w:val="24"/>
        </w:rPr>
        <w:t>Besbeas</w:t>
      </w:r>
      <w:proofErr w:type="spellEnd"/>
      <w:r w:rsidRPr="00884283">
        <w:rPr>
          <w:rFonts w:ascii="Calibri" w:hAnsi="Calibri" w:cs="Calibri"/>
          <w:sz w:val="24"/>
          <w:szCs w:val="24"/>
        </w:rPr>
        <w:t xml:space="preserve">, P., Gimenez, O., &amp; Thomas, L. (2014). State-Space Models. In K. B. Newman, S. T. Buckland, B. J. T. Morgan, R. King, D. L. Borchers, D. J. Cole, P. </w:t>
      </w:r>
      <w:proofErr w:type="spellStart"/>
      <w:r w:rsidRPr="00884283">
        <w:rPr>
          <w:rFonts w:ascii="Calibri" w:hAnsi="Calibri" w:cs="Calibri"/>
          <w:sz w:val="24"/>
          <w:szCs w:val="24"/>
        </w:rPr>
        <w:t>Besbeas</w:t>
      </w:r>
      <w:proofErr w:type="spellEnd"/>
      <w:r w:rsidRPr="00884283">
        <w:rPr>
          <w:rFonts w:ascii="Calibri" w:hAnsi="Calibri" w:cs="Calibri"/>
          <w:sz w:val="24"/>
          <w:szCs w:val="24"/>
        </w:rPr>
        <w:t xml:space="preserve">, O. Gimenez, &amp; L. Thomas (Eds.), </w:t>
      </w:r>
      <w:r w:rsidRPr="00884283">
        <w:rPr>
          <w:rFonts w:ascii="Calibri" w:hAnsi="Calibri" w:cs="Calibri"/>
          <w:i/>
          <w:iCs/>
          <w:sz w:val="24"/>
          <w:szCs w:val="24"/>
        </w:rPr>
        <w:t>Modelling Population Dynamics: Model Formulation, Fitting and Assessment using State-Space Methods</w:t>
      </w:r>
      <w:r w:rsidRPr="00884283">
        <w:rPr>
          <w:rFonts w:ascii="Calibri" w:hAnsi="Calibri" w:cs="Calibri"/>
          <w:sz w:val="24"/>
          <w:szCs w:val="24"/>
        </w:rPr>
        <w:t xml:space="preserve"> (pp. 39–50). Springer. https://doi.org/10.1007/978-1-4939-0977-3_3</w:t>
      </w:r>
    </w:p>
    <w:p w14:paraId="5F02076B" w14:textId="77777777" w:rsidR="00884283" w:rsidRPr="00884283" w:rsidRDefault="00884283" w:rsidP="00884283">
      <w:pPr>
        <w:pStyle w:val="Bibliography"/>
        <w:rPr>
          <w:rFonts w:ascii="Calibri" w:hAnsi="Calibri" w:cs="Calibri"/>
          <w:sz w:val="24"/>
          <w:szCs w:val="24"/>
        </w:rPr>
      </w:pPr>
      <w:proofErr w:type="spellStart"/>
      <w:r w:rsidRPr="00884283">
        <w:rPr>
          <w:rFonts w:ascii="Calibri" w:hAnsi="Calibri" w:cs="Calibri"/>
          <w:sz w:val="24"/>
          <w:szCs w:val="24"/>
        </w:rPr>
        <w:t>Niemeijer</w:t>
      </w:r>
      <w:proofErr w:type="spellEnd"/>
      <w:r w:rsidRPr="00884283">
        <w:rPr>
          <w:rFonts w:ascii="Calibri" w:hAnsi="Calibri" w:cs="Calibri"/>
          <w:sz w:val="24"/>
          <w:szCs w:val="24"/>
        </w:rPr>
        <w:t xml:space="preserve">, D., &amp; de Groot, R. S. (2008). Framing environmental indicators: Moving from causal chains to causal networks. </w:t>
      </w:r>
      <w:r w:rsidRPr="00884283">
        <w:rPr>
          <w:rFonts w:ascii="Calibri" w:hAnsi="Calibri" w:cs="Calibri"/>
          <w:i/>
          <w:iCs/>
          <w:sz w:val="24"/>
          <w:szCs w:val="24"/>
        </w:rPr>
        <w:t>Environment, Development and Sustainability</w:t>
      </w:r>
      <w:r w:rsidRPr="00884283">
        <w:rPr>
          <w:rFonts w:ascii="Calibri" w:hAnsi="Calibri" w:cs="Calibri"/>
          <w:sz w:val="24"/>
          <w:szCs w:val="24"/>
        </w:rPr>
        <w:t xml:space="preserve">, </w:t>
      </w:r>
      <w:r w:rsidRPr="00884283">
        <w:rPr>
          <w:rFonts w:ascii="Calibri" w:hAnsi="Calibri" w:cs="Calibri"/>
          <w:i/>
          <w:iCs/>
          <w:sz w:val="24"/>
          <w:szCs w:val="24"/>
        </w:rPr>
        <w:t>10</w:t>
      </w:r>
      <w:r w:rsidRPr="00884283">
        <w:rPr>
          <w:rFonts w:ascii="Calibri" w:hAnsi="Calibri" w:cs="Calibri"/>
          <w:sz w:val="24"/>
          <w:szCs w:val="24"/>
        </w:rPr>
        <w:t>(1), 89–106. https://doi.org/10.1007/s10668-006-9040-9</w:t>
      </w:r>
    </w:p>
    <w:p w14:paraId="6BE38DDA"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Patterson, T. A., Thomas, L., Wilcox, C., </w:t>
      </w:r>
      <w:proofErr w:type="spellStart"/>
      <w:r w:rsidRPr="00884283">
        <w:rPr>
          <w:rFonts w:ascii="Calibri" w:hAnsi="Calibri" w:cs="Calibri"/>
          <w:sz w:val="24"/>
          <w:szCs w:val="24"/>
        </w:rPr>
        <w:t>Ovaskainen</w:t>
      </w:r>
      <w:proofErr w:type="spellEnd"/>
      <w:r w:rsidRPr="00884283">
        <w:rPr>
          <w:rFonts w:ascii="Calibri" w:hAnsi="Calibri" w:cs="Calibri"/>
          <w:sz w:val="24"/>
          <w:szCs w:val="24"/>
        </w:rPr>
        <w:t xml:space="preserve">, O., &amp; </w:t>
      </w:r>
      <w:proofErr w:type="spellStart"/>
      <w:r w:rsidRPr="00884283">
        <w:rPr>
          <w:rFonts w:ascii="Calibri" w:hAnsi="Calibri" w:cs="Calibri"/>
          <w:sz w:val="24"/>
          <w:szCs w:val="24"/>
        </w:rPr>
        <w:t>Matthiopoulos</w:t>
      </w:r>
      <w:proofErr w:type="spellEnd"/>
      <w:r w:rsidRPr="00884283">
        <w:rPr>
          <w:rFonts w:ascii="Calibri" w:hAnsi="Calibri" w:cs="Calibri"/>
          <w:sz w:val="24"/>
          <w:szCs w:val="24"/>
        </w:rPr>
        <w:t xml:space="preserve">, J. (2008). State–space models of individual animal movement. </w:t>
      </w:r>
      <w:r w:rsidRPr="00884283">
        <w:rPr>
          <w:rFonts w:ascii="Calibri" w:hAnsi="Calibri" w:cs="Calibri"/>
          <w:i/>
          <w:iCs/>
          <w:sz w:val="24"/>
          <w:szCs w:val="24"/>
        </w:rPr>
        <w:t>Trends in Ecology &amp; Evolution</w:t>
      </w:r>
      <w:r w:rsidRPr="00884283">
        <w:rPr>
          <w:rFonts w:ascii="Calibri" w:hAnsi="Calibri" w:cs="Calibri"/>
          <w:sz w:val="24"/>
          <w:szCs w:val="24"/>
        </w:rPr>
        <w:t xml:space="preserve">, </w:t>
      </w:r>
      <w:r w:rsidRPr="00884283">
        <w:rPr>
          <w:rFonts w:ascii="Calibri" w:hAnsi="Calibri" w:cs="Calibri"/>
          <w:i/>
          <w:iCs/>
          <w:sz w:val="24"/>
          <w:szCs w:val="24"/>
        </w:rPr>
        <w:t>23</w:t>
      </w:r>
      <w:r w:rsidRPr="00884283">
        <w:rPr>
          <w:rFonts w:ascii="Calibri" w:hAnsi="Calibri" w:cs="Calibri"/>
          <w:sz w:val="24"/>
          <w:szCs w:val="24"/>
        </w:rPr>
        <w:t>(2), 87–94. https://doi.org/10.1016/j.tree.2007.10.009</w:t>
      </w:r>
    </w:p>
    <w:p w14:paraId="13C5D950"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Peet, R. K. (1974). The Measurement of Species Diversity. </w:t>
      </w:r>
      <w:r w:rsidRPr="00884283">
        <w:rPr>
          <w:rFonts w:ascii="Calibri" w:hAnsi="Calibri" w:cs="Calibri"/>
          <w:i/>
          <w:iCs/>
          <w:sz w:val="24"/>
          <w:szCs w:val="24"/>
        </w:rPr>
        <w:t>Annual Review of Ecology and Systematics</w:t>
      </w:r>
      <w:r w:rsidRPr="00884283">
        <w:rPr>
          <w:rFonts w:ascii="Calibri" w:hAnsi="Calibri" w:cs="Calibri"/>
          <w:sz w:val="24"/>
          <w:szCs w:val="24"/>
        </w:rPr>
        <w:t xml:space="preserve">, </w:t>
      </w:r>
      <w:r w:rsidRPr="00884283">
        <w:rPr>
          <w:rFonts w:ascii="Calibri" w:hAnsi="Calibri" w:cs="Calibri"/>
          <w:i/>
          <w:iCs/>
          <w:sz w:val="24"/>
          <w:szCs w:val="24"/>
        </w:rPr>
        <w:t>5</w:t>
      </w:r>
      <w:r w:rsidRPr="00884283">
        <w:rPr>
          <w:rFonts w:ascii="Calibri" w:hAnsi="Calibri" w:cs="Calibri"/>
          <w:sz w:val="24"/>
          <w:szCs w:val="24"/>
        </w:rPr>
        <w:t>(1), 285–307. https://doi.org/10.1146/annurev.es.05.110174.001441</w:t>
      </w:r>
    </w:p>
    <w:p w14:paraId="282E81F2" w14:textId="77777777" w:rsidR="00884283" w:rsidRPr="00884283" w:rsidRDefault="00884283" w:rsidP="00884283">
      <w:pPr>
        <w:pStyle w:val="Bibliography"/>
        <w:rPr>
          <w:rFonts w:ascii="Calibri" w:hAnsi="Calibri" w:cs="Calibri"/>
          <w:sz w:val="24"/>
          <w:szCs w:val="24"/>
        </w:rPr>
      </w:pPr>
      <w:r w:rsidRPr="00884283">
        <w:rPr>
          <w:rFonts w:ascii="Calibri" w:hAnsi="Calibri" w:cs="Calibri"/>
          <w:i/>
          <w:iCs/>
          <w:sz w:val="24"/>
          <w:szCs w:val="24"/>
        </w:rPr>
        <w:t>Read “Using Science to Improve the BLM Wild Horse and Burro Program: A Way Forward” at NAP.edu</w:t>
      </w:r>
      <w:r w:rsidRPr="00884283">
        <w:rPr>
          <w:rFonts w:ascii="Calibri" w:hAnsi="Calibri" w:cs="Calibri"/>
          <w:sz w:val="24"/>
          <w:szCs w:val="24"/>
        </w:rPr>
        <w:t>. (n.d.). https://doi.org/10.17226/13511</w:t>
      </w:r>
    </w:p>
    <w:p w14:paraId="1B3BD704" w14:textId="77777777" w:rsidR="00884283" w:rsidRPr="00884283" w:rsidRDefault="00884283" w:rsidP="00884283">
      <w:pPr>
        <w:pStyle w:val="Bibliography"/>
        <w:rPr>
          <w:rFonts w:ascii="Calibri" w:hAnsi="Calibri" w:cs="Calibri"/>
          <w:sz w:val="24"/>
          <w:szCs w:val="24"/>
        </w:rPr>
      </w:pPr>
      <w:proofErr w:type="spellStart"/>
      <w:r w:rsidRPr="00884283">
        <w:rPr>
          <w:rFonts w:ascii="Calibri" w:hAnsi="Calibri" w:cs="Calibri"/>
          <w:sz w:val="24"/>
          <w:szCs w:val="24"/>
        </w:rPr>
        <w:t>Royama</w:t>
      </w:r>
      <w:proofErr w:type="spellEnd"/>
      <w:r w:rsidRPr="00884283">
        <w:rPr>
          <w:rFonts w:ascii="Calibri" w:hAnsi="Calibri" w:cs="Calibri"/>
          <w:sz w:val="24"/>
          <w:szCs w:val="24"/>
        </w:rPr>
        <w:t xml:space="preserve">, T. (2012). </w:t>
      </w:r>
      <w:r w:rsidRPr="00884283">
        <w:rPr>
          <w:rFonts w:ascii="Calibri" w:hAnsi="Calibri" w:cs="Calibri"/>
          <w:i/>
          <w:iCs/>
          <w:sz w:val="24"/>
          <w:szCs w:val="24"/>
        </w:rPr>
        <w:t>Analytical Population Dynamics</w:t>
      </w:r>
      <w:r w:rsidRPr="00884283">
        <w:rPr>
          <w:rFonts w:ascii="Calibri" w:hAnsi="Calibri" w:cs="Calibri"/>
          <w:sz w:val="24"/>
          <w:szCs w:val="24"/>
        </w:rPr>
        <w:t>. Springer Science &amp; Business Media.</w:t>
      </w:r>
    </w:p>
    <w:p w14:paraId="61B46D79"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Whittaker, R. H. (1965). Dominance and Diversity in Land Plant Communities. </w:t>
      </w:r>
      <w:r w:rsidRPr="00884283">
        <w:rPr>
          <w:rFonts w:ascii="Calibri" w:hAnsi="Calibri" w:cs="Calibri"/>
          <w:i/>
          <w:iCs/>
          <w:sz w:val="24"/>
          <w:szCs w:val="24"/>
        </w:rPr>
        <w:t>Science</w:t>
      </w:r>
      <w:r w:rsidRPr="00884283">
        <w:rPr>
          <w:rFonts w:ascii="Calibri" w:hAnsi="Calibri" w:cs="Calibri"/>
          <w:sz w:val="24"/>
          <w:szCs w:val="24"/>
        </w:rPr>
        <w:t xml:space="preserve">, </w:t>
      </w:r>
      <w:r w:rsidRPr="00884283">
        <w:rPr>
          <w:rFonts w:ascii="Calibri" w:hAnsi="Calibri" w:cs="Calibri"/>
          <w:i/>
          <w:iCs/>
          <w:sz w:val="24"/>
          <w:szCs w:val="24"/>
        </w:rPr>
        <w:t>147</w:t>
      </w:r>
      <w:r w:rsidRPr="00884283">
        <w:rPr>
          <w:rFonts w:ascii="Calibri" w:hAnsi="Calibri" w:cs="Calibri"/>
          <w:sz w:val="24"/>
          <w:szCs w:val="24"/>
        </w:rPr>
        <w:t>(3655), 250–260. https://doi.org/10.1126/science.147.3655.250</w:t>
      </w:r>
    </w:p>
    <w:p w14:paraId="61D89D90" w14:textId="77777777" w:rsidR="00884283" w:rsidRPr="00884283" w:rsidRDefault="00884283" w:rsidP="00884283">
      <w:pPr>
        <w:pStyle w:val="Bibliography"/>
        <w:rPr>
          <w:rFonts w:ascii="Calibri" w:hAnsi="Calibri" w:cs="Calibri"/>
          <w:sz w:val="24"/>
          <w:szCs w:val="24"/>
        </w:rPr>
      </w:pPr>
      <w:r w:rsidRPr="00884283">
        <w:rPr>
          <w:rFonts w:ascii="Calibri" w:hAnsi="Calibri" w:cs="Calibri"/>
          <w:sz w:val="24"/>
          <w:szCs w:val="24"/>
        </w:rPr>
        <w:t xml:space="preserve">Wilson, H. B., Kendall, B. E., Fuller, R. A., Milton, D. A., &amp; </w:t>
      </w:r>
      <w:proofErr w:type="spellStart"/>
      <w:r w:rsidRPr="00884283">
        <w:rPr>
          <w:rFonts w:ascii="Calibri" w:hAnsi="Calibri" w:cs="Calibri"/>
          <w:sz w:val="24"/>
          <w:szCs w:val="24"/>
        </w:rPr>
        <w:t>Possingham</w:t>
      </w:r>
      <w:proofErr w:type="spellEnd"/>
      <w:r w:rsidRPr="00884283">
        <w:rPr>
          <w:rFonts w:ascii="Calibri" w:hAnsi="Calibri" w:cs="Calibri"/>
          <w:sz w:val="24"/>
          <w:szCs w:val="24"/>
        </w:rPr>
        <w:t xml:space="preserve">, H. P. (2011). </w:t>
      </w:r>
      <w:proofErr w:type="spellStart"/>
      <w:r w:rsidRPr="00884283">
        <w:rPr>
          <w:rFonts w:ascii="Calibri" w:hAnsi="Calibri" w:cs="Calibri"/>
          <w:sz w:val="24"/>
          <w:szCs w:val="24"/>
        </w:rPr>
        <w:t>Analyzing</w:t>
      </w:r>
      <w:proofErr w:type="spellEnd"/>
      <w:r w:rsidRPr="00884283">
        <w:rPr>
          <w:rFonts w:ascii="Calibri" w:hAnsi="Calibri" w:cs="Calibri"/>
          <w:sz w:val="24"/>
          <w:szCs w:val="24"/>
        </w:rPr>
        <w:t xml:space="preserve"> Variability and the Rate of Decline of Migratory Shorebirds in Moreton Bay, Australia. </w:t>
      </w:r>
      <w:r w:rsidRPr="00884283">
        <w:rPr>
          <w:rFonts w:ascii="Calibri" w:hAnsi="Calibri" w:cs="Calibri"/>
          <w:i/>
          <w:iCs/>
          <w:sz w:val="24"/>
          <w:szCs w:val="24"/>
        </w:rPr>
        <w:t>Conservation Biology</w:t>
      </w:r>
      <w:r w:rsidRPr="00884283">
        <w:rPr>
          <w:rFonts w:ascii="Calibri" w:hAnsi="Calibri" w:cs="Calibri"/>
          <w:sz w:val="24"/>
          <w:szCs w:val="24"/>
        </w:rPr>
        <w:t xml:space="preserve">, </w:t>
      </w:r>
      <w:r w:rsidRPr="00884283">
        <w:rPr>
          <w:rFonts w:ascii="Calibri" w:hAnsi="Calibri" w:cs="Calibri"/>
          <w:i/>
          <w:iCs/>
          <w:sz w:val="24"/>
          <w:szCs w:val="24"/>
        </w:rPr>
        <w:t>25</w:t>
      </w:r>
      <w:r w:rsidRPr="00884283">
        <w:rPr>
          <w:rFonts w:ascii="Calibri" w:hAnsi="Calibri" w:cs="Calibri"/>
          <w:sz w:val="24"/>
          <w:szCs w:val="24"/>
        </w:rPr>
        <w:t>(4), 758–766. https://doi.org/10.1111/j.1523-1739.2011.01670.x</w:t>
      </w:r>
    </w:p>
    <w:p w14:paraId="4E2178A6" w14:textId="77777777" w:rsidR="00884283" w:rsidRPr="00884283" w:rsidRDefault="00884283" w:rsidP="00884283">
      <w:pPr>
        <w:pStyle w:val="Bibliography"/>
        <w:rPr>
          <w:rFonts w:ascii="Calibri" w:hAnsi="Calibri" w:cs="Calibri"/>
          <w:sz w:val="24"/>
          <w:szCs w:val="24"/>
        </w:rPr>
      </w:pPr>
      <w:proofErr w:type="spellStart"/>
      <w:r w:rsidRPr="00884283">
        <w:rPr>
          <w:rFonts w:ascii="Calibri" w:hAnsi="Calibri" w:cs="Calibri"/>
          <w:sz w:val="24"/>
          <w:szCs w:val="24"/>
        </w:rPr>
        <w:lastRenderedPageBreak/>
        <w:t>Yoccoz</w:t>
      </w:r>
      <w:proofErr w:type="spellEnd"/>
      <w:r w:rsidRPr="00884283">
        <w:rPr>
          <w:rFonts w:ascii="Calibri" w:hAnsi="Calibri" w:cs="Calibri"/>
          <w:sz w:val="24"/>
          <w:szCs w:val="24"/>
        </w:rPr>
        <w:t xml:space="preserve">, N. G. (1991). Use, Overuse, and Misuse of Significance Tests in Evolutionary Biology and Ecology. </w:t>
      </w:r>
      <w:r w:rsidRPr="00884283">
        <w:rPr>
          <w:rFonts w:ascii="Calibri" w:hAnsi="Calibri" w:cs="Calibri"/>
          <w:i/>
          <w:iCs/>
          <w:sz w:val="24"/>
          <w:szCs w:val="24"/>
        </w:rPr>
        <w:t>Bulletin of the Ecological Society of America</w:t>
      </w:r>
      <w:r w:rsidRPr="00884283">
        <w:rPr>
          <w:rFonts w:ascii="Calibri" w:hAnsi="Calibri" w:cs="Calibri"/>
          <w:sz w:val="24"/>
          <w:szCs w:val="24"/>
        </w:rPr>
        <w:t xml:space="preserve">, </w:t>
      </w:r>
      <w:r w:rsidRPr="00884283">
        <w:rPr>
          <w:rFonts w:ascii="Calibri" w:hAnsi="Calibri" w:cs="Calibri"/>
          <w:i/>
          <w:iCs/>
          <w:sz w:val="24"/>
          <w:szCs w:val="24"/>
        </w:rPr>
        <w:t>72</w:t>
      </w:r>
      <w:r w:rsidRPr="00884283">
        <w:rPr>
          <w:rFonts w:ascii="Calibri" w:hAnsi="Calibri" w:cs="Calibri"/>
          <w:sz w:val="24"/>
          <w:szCs w:val="24"/>
        </w:rPr>
        <w:t>(2), 106–111.</w:t>
      </w:r>
    </w:p>
    <w:p w14:paraId="751E6240" w14:textId="77777777" w:rsidR="00884283" w:rsidRPr="00884283" w:rsidRDefault="00884283" w:rsidP="00884283">
      <w:pPr>
        <w:pStyle w:val="Bibliography"/>
        <w:rPr>
          <w:rFonts w:ascii="Calibri" w:hAnsi="Calibri" w:cs="Calibri"/>
          <w:sz w:val="24"/>
          <w:szCs w:val="24"/>
        </w:rPr>
      </w:pPr>
      <w:proofErr w:type="spellStart"/>
      <w:r w:rsidRPr="00884283">
        <w:rPr>
          <w:rFonts w:ascii="Calibri" w:hAnsi="Calibri" w:cs="Calibri"/>
          <w:sz w:val="24"/>
          <w:szCs w:val="24"/>
        </w:rPr>
        <w:t>Yoccoz</w:t>
      </w:r>
      <w:proofErr w:type="spellEnd"/>
      <w:r w:rsidRPr="00884283">
        <w:rPr>
          <w:rFonts w:ascii="Calibri" w:hAnsi="Calibri" w:cs="Calibri"/>
          <w:sz w:val="24"/>
          <w:szCs w:val="24"/>
        </w:rPr>
        <w:t xml:space="preserve">, N. G., Nichols, J. D., &amp; </w:t>
      </w:r>
      <w:proofErr w:type="spellStart"/>
      <w:r w:rsidRPr="00884283">
        <w:rPr>
          <w:rFonts w:ascii="Calibri" w:hAnsi="Calibri" w:cs="Calibri"/>
          <w:sz w:val="24"/>
          <w:szCs w:val="24"/>
        </w:rPr>
        <w:t>Boulinier</w:t>
      </w:r>
      <w:proofErr w:type="spellEnd"/>
      <w:r w:rsidRPr="00884283">
        <w:rPr>
          <w:rFonts w:ascii="Calibri" w:hAnsi="Calibri" w:cs="Calibri"/>
          <w:sz w:val="24"/>
          <w:szCs w:val="24"/>
        </w:rPr>
        <w:t xml:space="preserve">, T. (2001). Monitoring of biological diversity in space and time. </w:t>
      </w:r>
      <w:r w:rsidRPr="00884283">
        <w:rPr>
          <w:rFonts w:ascii="Calibri" w:hAnsi="Calibri" w:cs="Calibri"/>
          <w:i/>
          <w:iCs/>
          <w:sz w:val="24"/>
          <w:szCs w:val="24"/>
        </w:rPr>
        <w:t>Trends in Ecology &amp; Evolution</w:t>
      </w:r>
      <w:r w:rsidRPr="00884283">
        <w:rPr>
          <w:rFonts w:ascii="Calibri" w:hAnsi="Calibri" w:cs="Calibri"/>
          <w:sz w:val="24"/>
          <w:szCs w:val="24"/>
        </w:rPr>
        <w:t xml:space="preserve">, </w:t>
      </w:r>
      <w:r w:rsidRPr="00884283">
        <w:rPr>
          <w:rFonts w:ascii="Calibri" w:hAnsi="Calibri" w:cs="Calibri"/>
          <w:i/>
          <w:iCs/>
          <w:sz w:val="24"/>
          <w:szCs w:val="24"/>
        </w:rPr>
        <w:t>16</w:t>
      </w:r>
      <w:r w:rsidRPr="00884283">
        <w:rPr>
          <w:rFonts w:ascii="Calibri" w:hAnsi="Calibri" w:cs="Calibri"/>
          <w:sz w:val="24"/>
          <w:szCs w:val="24"/>
        </w:rPr>
        <w:t>(8), 446–453. https://doi.org/10.1016/S0169-5347(01)02205-4</w:t>
      </w:r>
    </w:p>
    <w:p w14:paraId="402D1FB6" w14:textId="058AF9CB" w:rsidR="00F81571" w:rsidRPr="007D365A" w:rsidRDefault="00950D3A" w:rsidP="00F81571">
      <w:pPr>
        <w:rPr>
          <w:sz w:val="24"/>
          <w:szCs w:val="24"/>
        </w:rPr>
      </w:pPr>
      <w:r>
        <w:rPr>
          <w:sz w:val="24"/>
          <w:szCs w:val="24"/>
        </w:rPr>
        <w:fldChar w:fldCharType="end"/>
      </w:r>
    </w:p>
    <w:sectPr w:rsidR="00F81571" w:rsidRPr="007D3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262C6"/>
    <w:multiLevelType w:val="hybridMultilevel"/>
    <w:tmpl w:val="EDA8F4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CBF7365"/>
    <w:multiLevelType w:val="hybridMultilevel"/>
    <w:tmpl w:val="48BA57DA"/>
    <w:lvl w:ilvl="0" w:tplc="BE7C52B0">
      <w:start w:val="1"/>
      <w:numFmt w:val="decimal"/>
      <w:lvlText w:val="%1."/>
      <w:lvlJc w:val="left"/>
      <w:pPr>
        <w:ind w:left="720" w:hanging="360"/>
      </w:pPr>
      <w:rPr>
        <w:rFonts w:asciiTheme="minorHAnsi" w:eastAsiaTheme="minorHAnsi" w:hAnsiTheme="minorHAnsi" w:cstheme="minorBid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5A"/>
    <w:rsid w:val="00010EA8"/>
    <w:rsid w:val="00012B0B"/>
    <w:rsid w:val="0001723C"/>
    <w:rsid w:val="00022822"/>
    <w:rsid w:val="0004436C"/>
    <w:rsid w:val="00064D7C"/>
    <w:rsid w:val="00080E44"/>
    <w:rsid w:val="0008643B"/>
    <w:rsid w:val="00096970"/>
    <w:rsid w:val="00096E38"/>
    <w:rsid w:val="000A1616"/>
    <w:rsid w:val="000A3207"/>
    <w:rsid w:val="000B2A6D"/>
    <w:rsid w:val="000B75E9"/>
    <w:rsid w:val="000C5580"/>
    <w:rsid w:val="000E2EBC"/>
    <w:rsid w:val="0010344F"/>
    <w:rsid w:val="001101D7"/>
    <w:rsid w:val="001152DE"/>
    <w:rsid w:val="00120CF6"/>
    <w:rsid w:val="0012426C"/>
    <w:rsid w:val="00142005"/>
    <w:rsid w:val="00162E3B"/>
    <w:rsid w:val="00166029"/>
    <w:rsid w:val="0017375C"/>
    <w:rsid w:val="00185E11"/>
    <w:rsid w:val="00187BE9"/>
    <w:rsid w:val="001B26B9"/>
    <w:rsid w:val="001C359A"/>
    <w:rsid w:val="001C47E2"/>
    <w:rsid w:val="001D69E7"/>
    <w:rsid w:val="001F2922"/>
    <w:rsid w:val="002030E6"/>
    <w:rsid w:val="00205292"/>
    <w:rsid w:val="00244E29"/>
    <w:rsid w:val="00254B91"/>
    <w:rsid w:val="00274B72"/>
    <w:rsid w:val="00297B6B"/>
    <w:rsid w:val="002C1185"/>
    <w:rsid w:val="003527B0"/>
    <w:rsid w:val="0036118F"/>
    <w:rsid w:val="00376E08"/>
    <w:rsid w:val="003E6E27"/>
    <w:rsid w:val="00415E47"/>
    <w:rsid w:val="00424AAA"/>
    <w:rsid w:val="00492688"/>
    <w:rsid w:val="004F1C70"/>
    <w:rsid w:val="004F4ECB"/>
    <w:rsid w:val="00514B59"/>
    <w:rsid w:val="00525D26"/>
    <w:rsid w:val="0055113A"/>
    <w:rsid w:val="00557D19"/>
    <w:rsid w:val="00557FC3"/>
    <w:rsid w:val="005637C2"/>
    <w:rsid w:val="0057416A"/>
    <w:rsid w:val="005757A7"/>
    <w:rsid w:val="005A01B1"/>
    <w:rsid w:val="005D6FDB"/>
    <w:rsid w:val="00600AFF"/>
    <w:rsid w:val="006670ED"/>
    <w:rsid w:val="0067672B"/>
    <w:rsid w:val="006802B6"/>
    <w:rsid w:val="006818E9"/>
    <w:rsid w:val="006C56E0"/>
    <w:rsid w:val="006E1EBA"/>
    <w:rsid w:val="006E36F9"/>
    <w:rsid w:val="006F3FD7"/>
    <w:rsid w:val="0071159F"/>
    <w:rsid w:val="007271F2"/>
    <w:rsid w:val="00773F3E"/>
    <w:rsid w:val="007C34F8"/>
    <w:rsid w:val="007C4D6E"/>
    <w:rsid w:val="007D365A"/>
    <w:rsid w:val="007E44EB"/>
    <w:rsid w:val="00811A77"/>
    <w:rsid w:val="00831A68"/>
    <w:rsid w:val="00834178"/>
    <w:rsid w:val="008472DE"/>
    <w:rsid w:val="00850509"/>
    <w:rsid w:val="008740CA"/>
    <w:rsid w:val="00884283"/>
    <w:rsid w:val="00897207"/>
    <w:rsid w:val="008974A8"/>
    <w:rsid w:val="008A1A2C"/>
    <w:rsid w:val="008A4C83"/>
    <w:rsid w:val="008D3D4C"/>
    <w:rsid w:val="008E281A"/>
    <w:rsid w:val="008E2C91"/>
    <w:rsid w:val="008F512E"/>
    <w:rsid w:val="008F738E"/>
    <w:rsid w:val="00917F5E"/>
    <w:rsid w:val="009454FE"/>
    <w:rsid w:val="00950D3A"/>
    <w:rsid w:val="00975397"/>
    <w:rsid w:val="00977BC9"/>
    <w:rsid w:val="009B5B7D"/>
    <w:rsid w:val="009D1413"/>
    <w:rsid w:val="009E4EE0"/>
    <w:rsid w:val="009F4691"/>
    <w:rsid w:val="009F616E"/>
    <w:rsid w:val="00A177A7"/>
    <w:rsid w:val="00A20EA5"/>
    <w:rsid w:val="00A34C50"/>
    <w:rsid w:val="00A37F60"/>
    <w:rsid w:val="00AF0F89"/>
    <w:rsid w:val="00AF3C76"/>
    <w:rsid w:val="00B02494"/>
    <w:rsid w:val="00B15A66"/>
    <w:rsid w:val="00B24924"/>
    <w:rsid w:val="00B31AFC"/>
    <w:rsid w:val="00B33144"/>
    <w:rsid w:val="00B505BD"/>
    <w:rsid w:val="00B65519"/>
    <w:rsid w:val="00B71D6A"/>
    <w:rsid w:val="00B762D3"/>
    <w:rsid w:val="00BA0ACB"/>
    <w:rsid w:val="00BA2760"/>
    <w:rsid w:val="00BA6AD1"/>
    <w:rsid w:val="00BB20B2"/>
    <w:rsid w:val="00BB2350"/>
    <w:rsid w:val="00BB3912"/>
    <w:rsid w:val="00BD5682"/>
    <w:rsid w:val="00C01CC5"/>
    <w:rsid w:val="00C055FC"/>
    <w:rsid w:val="00C471F1"/>
    <w:rsid w:val="00C47F36"/>
    <w:rsid w:val="00C51AEE"/>
    <w:rsid w:val="00C564A1"/>
    <w:rsid w:val="00C729B5"/>
    <w:rsid w:val="00C82165"/>
    <w:rsid w:val="00C91AB8"/>
    <w:rsid w:val="00CA5D0F"/>
    <w:rsid w:val="00CB74CB"/>
    <w:rsid w:val="00CC5363"/>
    <w:rsid w:val="00CD43AA"/>
    <w:rsid w:val="00CF0857"/>
    <w:rsid w:val="00CF4DE3"/>
    <w:rsid w:val="00D07438"/>
    <w:rsid w:val="00D2420C"/>
    <w:rsid w:val="00D34F8A"/>
    <w:rsid w:val="00D86A47"/>
    <w:rsid w:val="00DF24E2"/>
    <w:rsid w:val="00E23951"/>
    <w:rsid w:val="00E23962"/>
    <w:rsid w:val="00E63B6A"/>
    <w:rsid w:val="00E764DB"/>
    <w:rsid w:val="00E76773"/>
    <w:rsid w:val="00E82554"/>
    <w:rsid w:val="00EA5C31"/>
    <w:rsid w:val="00EA6D63"/>
    <w:rsid w:val="00EB3F03"/>
    <w:rsid w:val="00F0494D"/>
    <w:rsid w:val="00F13CB1"/>
    <w:rsid w:val="00F22C8B"/>
    <w:rsid w:val="00F22FBD"/>
    <w:rsid w:val="00F429DA"/>
    <w:rsid w:val="00F81383"/>
    <w:rsid w:val="00F81571"/>
    <w:rsid w:val="00FA76B5"/>
    <w:rsid w:val="00FC0AF3"/>
    <w:rsid w:val="00FC6DD3"/>
    <w:rsid w:val="00FE4B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1583"/>
  <w15:chartTrackingRefBased/>
  <w15:docId w15:val="{5B4B98DA-DCCB-42CE-A20B-5750C0E1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2EBC"/>
    <w:rPr>
      <w:color w:val="0000FF"/>
      <w:u w:val="single"/>
    </w:rPr>
  </w:style>
  <w:style w:type="paragraph" w:styleId="Bibliography">
    <w:name w:val="Bibliography"/>
    <w:basedOn w:val="Normal"/>
    <w:next w:val="Normal"/>
    <w:uiPriority w:val="37"/>
    <w:unhideWhenUsed/>
    <w:rsid w:val="00950D3A"/>
  </w:style>
  <w:style w:type="character" w:customStyle="1" w:styleId="katex-mathml">
    <w:name w:val="katex-mathml"/>
    <w:basedOn w:val="DefaultParagraphFont"/>
    <w:rsid w:val="002C1185"/>
  </w:style>
  <w:style w:type="character" w:customStyle="1" w:styleId="mord">
    <w:name w:val="mord"/>
    <w:basedOn w:val="DefaultParagraphFont"/>
    <w:rsid w:val="002C1185"/>
  </w:style>
  <w:style w:type="character" w:customStyle="1" w:styleId="mopen">
    <w:name w:val="mopen"/>
    <w:basedOn w:val="DefaultParagraphFont"/>
    <w:rsid w:val="002C1185"/>
  </w:style>
  <w:style w:type="character" w:customStyle="1" w:styleId="vlist-s">
    <w:name w:val="vlist-s"/>
    <w:basedOn w:val="DefaultParagraphFont"/>
    <w:rsid w:val="002C1185"/>
  </w:style>
  <w:style w:type="character" w:customStyle="1" w:styleId="mclose">
    <w:name w:val="mclose"/>
    <w:basedOn w:val="DefaultParagraphFont"/>
    <w:rsid w:val="002C1185"/>
  </w:style>
  <w:style w:type="character" w:customStyle="1" w:styleId="mrel">
    <w:name w:val="mrel"/>
    <w:basedOn w:val="DefaultParagraphFont"/>
    <w:rsid w:val="002C1185"/>
  </w:style>
  <w:style w:type="character" w:customStyle="1" w:styleId="mbin">
    <w:name w:val="mbin"/>
    <w:basedOn w:val="DefaultParagraphFont"/>
    <w:rsid w:val="002C1185"/>
  </w:style>
  <w:style w:type="paragraph" w:styleId="ListParagraph">
    <w:name w:val="List Paragraph"/>
    <w:basedOn w:val="Normal"/>
    <w:uiPriority w:val="34"/>
    <w:qFormat/>
    <w:rsid w:val="00773F3E"/>
    <w:pPr>
      <w:ind w:left="720"/>
      <w:contextualSpacing/>
    </w:pPr>
  </w:style>
  <w:style w:type="character" w:styleId="PlaceholderText">
    <w:name w:val="Placeholder Text"/>
    <w:basedOn w:val="DefaultParagraphFont"/>
    <w:uiPriority w:val="99"/>
    <w:semiHidden/>
    <w:rsid w:val="00CF4D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6747">
      <w:bodyDiv w:val="1"/>
      <w:marLeft w:val="0"/>
      <w:marRight w:val="0"/>
      <w:marTop w:val="0"/>
      <w:marBottom w:val="0"/>
      <w:divBdr>
        <w:top w:val="none" w:sz="0" w:space="0" w:color="auto"/>
        <w:left w:val="none" w:sz="0" w:space="0" w:color="auto"/>
        <w:bottom w:val="none" w:sz="0" w:space="0" w:color="auto"/>
        <w:right w:val="none" w:sz="0" w:space="0" w:color="auto"/>
      </w:divBdr>
      <w:divsChild>
        <w:div w:id="1874657894">
          <w:marLeft w:val="480"/>
          <w:marRight w:val="0"/>
          <w:marTop w:val="0"/>
          <w:marBottom w:val="0"/>
          <w:divBdr>
            <w:top w:val="none" w:sz="0" w:space="0" w:color="auto"/>
            <w:left w:val="none" w:sz="0" w:space="0" w:color="auto"/>
            <w:bottom w:val="none" w:sz="0" w:space="0" w:color="auto"/>
            <w:right w:val="none" w:sz="0" w:space="0" w:color="auto"/>
          </w:divBdr>
          <w:divsChild>
            <w:div w:id="16450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1368">
      <w:bodyDiv w:val="1"/>
      <w:marLeft w:val="0"/>
      <w:marRight w:val="0"/>
      <w:marTop w:val="0"/>
      <w:marBottom w:val="0"/>
      <w:divBdr>
        <w:top w:val="none" w:sz="0" w:space="0" w:color="auto"/>
        <w:left w:val="none" w:sz="0" w:space="0" w:color="auto"/>
        <w:bottom w:val="none" w:sz="0" w:space="0" w:color="auto"/>
        <w:right w:val="none" w:sz="0" w:space="0" w:color="auto"/>
      </w:divBdr>
      <w:divsChild>
        <w:div w:id="106390962">
          <w:marLeft w:val="480"/>
          <w:marRight w:val="0"/>
          <w:marTop w:val="0"/>
          <w:marBottom w:val="0"/>
          <w:divBdr>
            <w:top w:val="none" w:sz="0" w:space="0" w:color="auto"/>
            <w:left w:val="none" w:sz="0" w:space="0" w:color="auto"/>
            <w:bottom w:val="none" w:sz="0" w:space="0" w:color="auto"/>
            <w:right w:val="none" w:sz="0" w:space="0" w:color="auto"/>
          </w:divBdr>
          <w:divsChild>
            <w:div w:id="3376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2278">
      <w:bodyDiv w:val="1"/>
      <w:marLeft w:val="0"/>
      <w:marRight w:val="0"/>
      <w:marTop w:val="0"/>
      <w:marBottom w:val="0"/>
      <w:divBdr>
        <w:top w:val="none" w:sz="0" w:space="0" w:color="auto"/>
        <w:left w:val="none" w:sz="0" w:space="0" w:color="auto"/>
        <w:bottom w:val="none" w:sz="0" w:space="0" w:color="auto"/>
        <w:right w:val="none" w:sz="0" w:space="0" w:color="auto"/>
      </w:divBdr>
      <w:divsChild>
        <w:div w:id="296107163">
          <w:marLeft w:val="480"/>
          <w:marRight w:val="0"/>
          <w:marTop w:val="0"/>
          <w:marBottom w:val="0"/>
          <w:divBdr>
            <w:top w:val="none" w:sz="0" w:space="0" w:color="auto"/>
            <w:left w:val="none" w:sz="0" w:space="0" w:color="auto"/>
            <w:bottom w:val="none" w:sz="0" w:space="0" w:color="auto"/>
            <w:right w:val="none" w:sz="0" w:space="0" w:color="auto"/>
          </w:divBdr>
          <w:divsChild>
            <w:div w:id="21462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7467">
      <w:bodyDiv w:val="1"/>
      <w:marLeft w:val="0"/>
      <w:marRight w:val="0"/>
      <w:marTop w:val="0"/>
      <w:marBottom w:val="0"/>
      <w:divBdr>
        <w:top w:val="none" w:sz="0" w:space="0" w:color="auto"/>
        <w:left w:val="none" w:sz="0" w:space="0" w:color="auto"/>
        <w:bottom w:val="none" w:sz="0" w:space="0" w:color="auto"/>
        <w:right w:val="none" w:sz="0" w:space="0" w:color="auto"/>
      </w:divBdr>
      <w:divsChild>
        <w:div w:id="1466970368">
          <w:marLeft w:val="0"/>
          <w:marRight w:val="0"/>
          <w:marTop w:val="0"/>
          <w:marBottom w:val="0"/>
          <w:divBdr>
            <w:top w:val="none" w:sz="0" w:space="0" w:color="auto"/>
            <w:left w:val="none" w:sz="0" w:space="0" w:color="auto"/>
            <w:bottom w:val="none" w:sz="0" w:space="0" w:color="auto"/>
            <w:right w:val="none" w:sz="0" w:space="0" w:color="auto"/>
          </w:divBdr>
        </w:div>
      </w:divsChild>
    </w:div>
    <w:div w:id="1554462911">
      <w:bodyDiv w:val="1"/>
      <w:marLeft w:val="0"/>
      <w:marRight w:val="0"/>
      <w:marTop w:val="0"/>
      <w:marBottom w:val="0"/>
      <w:divBdr>
        <w:top w:val="none" w:sz="0" w:space="0" w:color="auto"/>
        <w:left w:val="none" w:sz="0" w:space="0" w:color="auto"/>
        <w:bottom w:val="none" w:sz="0" w:space="0" w:color="auto"/>
        <w:right w:val="none" w:sz="0" w:space="0" w:color="auto"/>
      </w:divBdr>
      <w:divsChild>
        <w:div w:id="932124422">
          <w:marLeft w:val="480"/>
          <w:marRight w:val="0"/>
          <w:marTop w:val="0"/>
          <w:marBottom w:val="0"/>
          <w:divBdr>
            <w:top w:val="none" w:sz="0" w:space="0" w:color="auto"/>
            <w:left w:val="none" w:sz="0" w:space="0" w:color="auto"/>
            <w:bottom w:val="none" w:sz="0" w:space="0" w:color="auto"/>
            <w:right w:val="none" w:sz="0" w:space="0" w:color="auto"/>
          </w:divBdr>
          <w:divsChild>
            <w:div w:id="17784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5959">
      <w:bodyDiv w:val="1"/>
      <w:marLeft w:val="0"/>
      <w:marRight w:val="0"/>
      <w:marTop w:val="0"/>
      <w:marBottom w:val="0"/>
      <w:divBdr>
        <w:top w:val="none" w:sz="0" w:space="0" w:color="auto"/>
        <w:left w:val="none" w:sz="0" w:space="0" w:color="auto"/>
        <w:bottom w:val="none" w:sz="0" w:space="0" w:color="auto"/>
        <w:right w:val="none" w:sz="0" w:space="0" w:color="auto"/>
      </w:divBdr>
      <w:divsChild>
        <w:div w:id="1040861242">
          <w:marLeft w:val="480"/>
          <w:marRight w:val="0"/>
          <w:marTop w:val="0"/>
          <w:marBottom w:val="0"/>
          <w:divBdr>
            <w:top w:val="none" w:sz="0" w:space="0" w:color="auto"/>
            <w:left w:val="none" w:sz="0" w:space="0" w:color="auto"/>
            <w:bottom w:val="none" w:sz="0" w:space="0" w:color="auto"/>
            <w:right w:val="none" w:sz="0" w:space="0" w:color="auto"/>
          </w:divBdr>
          <w:divsChild>
            <w:div w:id="470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7392A-7310-40D4-B192-84D71E70F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3043</TotalTime>
  <Pages>17</Pages>
  <Words>24647</Words>
  <Characters>140488</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Edwards</dc:creator>
  <cp:keywords/>
  <dc:description/>
  <cp:lastModifiedBy>Gareth Edwards</cp:lastModifiedBy>
  <cp:revision>21</cp:revision>
  <dcterms:created xsi:type="dcterms:W3CDTF">2021-09-29T11:53:00Z</dcterms:created>
  <dcterms:modified xsi:type="dcterms:W3CDTF">2021-10-12T12:32:00Z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id="Hm8BnDPS"/&gt;&lt;style id="http://www.zotero.org/styles/apa" locale="en-US" hasBibliography="1" bibliographyStyleHasBeenSet="1"/&gt;&lt;prefs&gt;&lt;pref name="fieldType" value="Field"/&gt;&lt;/prefs&gt;&lt;/data&gt;</vt:lpwstr>
  </property>
</Properties>
</file>