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color w:val="1f6f5b"/>
        </w:rPr>
        <w:t xml:space="preserve">Walmart Sales Forecasting</w:t>
      </w:r>
    </w:p>
    <w:p>
      <w:pPr>
        <w:spacing w:after="400"/>
      </w:pPr>
      <w:r>
        <w:rPr>
          <w:i/>
          <w:iCs/>
          <w:color w:val="6b7280"/>
          <w:sz w:val="26"/>
          <w:szCs w:val="26"/>
        </w:rPr>
        <w:t xml:space="preserve">Streamlit Dashboard — UI Output Reference</w:t>
      </w:r>
    </w:p>
    <w:p>
      <w:pPr>
        <w:pStyle w:val="Heading1"/>
        <w:spacing w:after="150" w:before="300"/>
      </w:pPr>
      <w:r>
        <w:t xml:space="preserve">1. Overview</w:t>
      </w:r>
    </w:p>
    <w:p>
      <w:pPr>
        <w:spacing w:after="160"/>
      </w:pPr>
      <w:r>
        <w:t xml:space="preserve">This document records what the Streamlit dashboard (Sales_forcast.py) renders once the data layer and HistGradientBoostingRegressor model finish running. Every number and table below was produced by executing the app's actual data-preparation, training, and forecasting functions against the uploaded train.csv, test.csv, features.csv, and stores.csv files — it is not placeholder text.</w:t>
      </w:r>
    </w:p>
    <w:p>
      <w:pPr>
        <w:spacing w:after="160"/>
      </w:pPr>
      <w:r>
        <w:t xml:space="preserve">The underlying dataset covers 45 stores and 81 departments, with weekly sales history from 05 Feb 2010 to 26 Oct 2012 (421,570 training rows) and an unlabeled forecast horizon from 02 Nov 2012 to 26 Jul 2013 (115,064 rows to predict).</w:t>
      </w:r>
    </w:p>
    <w:p>
      <w:pPr>
        <w:pStyle w:val="Heading1"/>
        <w:spacing w:after="150" w:before="300"/>
      </w:pPr>
      <w:r>
        <w:t xml:space="preserve">2. Page Header</w:t>
      </w:r>
    </w:p>
    <w:p>
      <w:pPr>
        <w:spacing w:after="160"/>
      </w:pPr>
      <w:r>
        <w:rPr>
          <w:i/>
          <w:iCs/>
          <w:color w:val="6b7280"/>
          <w:sz w:val="20"/>
          <w:szCs w:val="20"/>
        </w:rPr>
        <w:t xml:space="preserve">The main panel opens with the app title and a one-line caption, set via st.title and st.caption:</w:t>
      </w:r>
    </w:p>
    <w:p>
      <w:pPr>
        <w:pBdr>
          <w:left w:val="single" w:color="1f6f5b" w:sz="18" w:space="8"/>
        </w:pBdr>
        <w:spacing w:after="100" w:before="100"/>
      </w:pPr>
      <w:r>
        <w:rPr>
          <w:b/>
          <w:bCs/>
          <w:sz w:val="30"/>
          <w:szCs w:val="30"/>
        </w:rPr>
        <w:t xml:space="preserve">📈  Walmart Sales Forecasting</w:t>
      </w:r>
    </w:p>
    <w:p>
      <w:pPr>
        <w:pBdr>
          <w:left w:val="single" w:color="1f6f5b" w:sz="18" w:space="8"/>
        </w:pBdr>
        <w:spacing w:after="300"/>
      </w:pPr>
      <w:r>
        <w:rPr>
          <w:i/>
          <w:iCs/>
          <w:color w:val="6b7280"/>
        </w:rPr>
        <w:t xml:space="preserve">A practical weekly demand view for 45 stores and their departments</w:t>
      </w:r>
    </w:p>
    <w:p>
      <w:pPr>
        <w:pStyle w:val="Heading1"/>
        <w:spacing w:after="150" w:before="300"/>
      </w:pPr>
      <w:r>
        <w:t xml:space="preserve">3. Sidebar Filters</w:t>
      </w:r>
    </w:p>
    <w:p>
      <w:pPr>
        <w:spacing w:after="160"/>
      </w:pPr>
      <w:r>
        <w:t xml:space="preserve">Two dropdown controls appear in the left sidebar (st.sidebar.selectbox) and drive every other element on the page: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1f6f5b" w:val="clear"/>
            <w:tcMar>
              <w:top w:type="dxa" w:w="100"/>
              <w:left w:type="dxa" w:w="120"/>
              <w:bottom w:type="dxa" w:w="100"/>
              <w:right w:type="dxa" w:w="120"/>
            </w:tcMar>
            <w:vAlign w:val="center"/>
          </w:tcPr>
          <w:p>
            <w:pPr>
              <w:jc w:val="left"/>
            </w:pPr>
            <w:r>
              <w:rPr>
                <w:b/>
                <w:bCs/>
                <w:color w:val="FFFFFF"/>
                <w:sz w:val="20"/>
                <w:szCs w:val="20"/>
              </w:rPr>
              <w:t xml:space="preserve">Sidebar control</w:t>
            </w:r>
          </w:p>
        </w:tc>
        <w:tc>
          <w:tcPr>
            <w:tcW w:type="dxa" w:w="6800"/>
            <w:shd w:fill="1f6f5b" w:val="clear"/>
            <w:tcMar>
              <w:top w:type="dxa" w:w="100"/>
              <w:left w:type="dxa" w:w="120"/>
              <w:bottom w:type="dxa" w:w="100"/>
              <w:right w:type="dxa" w:w="120"/>
            </w:tcMar>
            <w:vAlign w:val="center"/>
          </w:tcPr>
          <w:p>
            <w:pPr>
              <w:jc w:val="left"/>
            </w:pPr>
            <w:r>
              <w:rPr>
                <w:b/>
                <w:bCs/>
                <w:color w:val="FFFFFF"/>
                <w:sz w:val="20"/>
                <w:szCs w:val="20"/>
              </w:rPr>
              <w:t xml:space="preserve">Options shown</w:t>
            </w:r>
          </w:p>
        </w:tc>
      </w:tr>
      <w:tr>
        <w:tc>
          <w:tcPr>
            <w:tcW w:type="dxa" w:w="3000"/>
            <w:tcMar>
              <w:top w:type="dxa" w:w="100"/>
              <w:left w:type="dxa" w:w="120"/>
              <w:bottom w:type="dxa" w:w="100"/>
              <w:right w:type="dxa" w:w="120"/>
            </w:tcMar>
            <w:vAlign w:val="center"/>
          </w:tcPr>
          <w:p>
            <w:pPr>
              <w:jc w:val="left"/>
            </w:pPr>
            <w:r>
              <w:rPr>
                <w:b w:val="false"/>
                <w:bCs w:val="false"/>
                <w:color w:val="1f2937"/>
                <w:sz w:val="20"/>
                <w:szCs w:val="20"/>
              </w:rPr>
              <w:t xml:space="preserve">Store</w:t>
            </w:r>
          </w:p>
        </w:tc>
        <w:tc>
          <w:tcPr>
            <w:tcW w:type="dxa" w:w="6800"/>
            <w:tcMar>
              <w:top w:type="dxa" w:w="100"/>
              <w:left w:type="dxa" w:w="120"/>
              <w:bottom w:type="dxa" w:w="100"/>
              <w:right w:type="dxa" w:w="120"/>
            </w:tcMar>
            <w:vAlign w:val="center"/>
          </w:tcPr>
          <w:p>
            <w:pPr>
              <w:jc w:val="left"/>
            </w:pPr>
            <w:r>
              <w:rPr>
                <w:b w:val="false"/>
                <w:bCs w:val="false"/>
                <w:color w:val="1f2937"/>
                <w:sz w:val="20"/>
                <w:szCs w:val="20"/>
              </w:rPr>
              <w:t xml:space="preserve">“All stores”, plus each of the 45 individual store IDs (1–45)</w:t>
            </w:r>
          </w:p>
        </w:tc>
      </w:tr>
      <w:tr>
        <w:tc>
          <w:tcPr>
            <w:tcW w:type="dxa" w:w="3000"/>
            <w:tcMar>
              <w:top w:type="dxa" w:w="100"/>
              <w:left w:type="dxa" w:w="120"/>
              <w:bottom w:type="dxa" w:w="100"/>
              <w:right w:type="dxa" w:w="120"/>
            </w:tcMar>
            <w:vAlign w:val="center"/>
          </w:tcPr>
          <w:p>
            <w:pPr>
              <w:jc w:val="left"/>
            </w:pPr>
            <w:r>
              <w:rPr>
                <w:b w:val="false"/>
                <w:bCs w:val="false"/>
                <w:color w:val="1f2937"/>
                <w:sz w:val="20"/>
                <w:szCs w:val="20"/>
              </w:rPr>
              <w:t xml:space="preserve">Department</w:t>
            </w:r>
          </w:p>
        </w:tc>
        <w:tc>
          <w:tcPr>
            <w:tcW w:type="dxa" w:w="6800"/>
            <w:tcMar>
              <w:top w:type="dxa" w:w="100"/>
              <w:left w:type="dxa" w:w="120"/>
              <w:bottom w:type="dxa" w:w="100"/>
              <w:right w:type="dxa" w:w="120"/>
            </w:tcMar>
            <w:vAlign w:val="center"/>
          </w:tcPr>
          <w:p>
            <w:pPr>
              <w:jc w:val="left"/>
            </w:pPr>
            <w:r>
              <w:rPr>
                <w:b w:val="false"/>
                <w:bCs w:val="false"/>
                <w:color w:val="1f2937"/>
                <w:sz w:val="20"/>
                <w:szCs w:val="20"/>
              </w:rPr>
              <w:t xml:space="preserve">“All departments”, plus each of the 81 department codes present in the data</w:t>
            </w:r>
          </w:p>
        </w:tc>
      </w:tr>
    </w:tbl>
    <w:p>
      <w:pPr>
        <w:spacing w:after="160"/>
      </w:pPr>
      <w:r>
        <w:t xml:space="preserve"/>
      </w:r>
    </w:p>
    <w:p>
      <w:pPr>
        <w:spacing w:after="160"/>
      </w:pPr>
      <w:r>
        <w:t xml:space="preserve">Selecting a specific store and/or department filters the historical data, the forecast, the four summary metrics, the trend chart, and the forecast-detail table all at once — nothing is cached per filter, so each change recomputes the filtered views from the already-trained model's output.</w:t>
      </w:r>
    </w:p>
    <w:p>
      <w:pPr>
        <w:pStyle w:val="Heading1"/>
        <w:spacing w:after="150" w:before="300"/>
      </w:pPr>
      <w:r>
        <w:t xml:space="preserve">4. Summary Metrics — “All stores / All departments” (default view)</w:t>
      </w:r>
    </w:p>
    <w:p>
      <w:pPr>
        <w:spacing w:after="160"/>
      </w:pPr>
      <w:r>
        <w:t xml:space="preserve">Four st.metric cards sit in a row beneath the header. With no filters applied, they read: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600"/>
      </w:tblGrid>
      <w:tr>
        <w:tc>
          <w:tcPr>
            <w:tcW w:type="dxa" w:w="2400"/>
            <w:shd w:fill="1f6f5b" w:val="clear"/>
            <w:tcMar>
              <w:top w:type="dxa" w:w="100"/>
              <w:left w:type="dxa" w:w="120"/>
              <w:bottom w:type="dxa" w:w="100"/>
              <w:right w:type="dxa" w:w="120"/>
            </w:tcMar>
            <w:vAlign w:val="center"/>
          </w:tcPr>
          <w:p>
            <w:pPr>
              <w:jc w:val="left"/>
            </w:pPr>
            <w:r>
              <w:rPr>
                <w:b/>
                <w:bCs/>
                <w:color w:val="FFFFFF"/>
                <w:sz w:val="20"/>
                <w:szCs w:val="20"/>
              </w:rPr>
              <w:t xml:space="preserve">Historical sales</w:t>
            </w:r>
          </w:p>
        </w:tc>
        <w:tc>
          <w:tcPr>
            <w:tcW w:type="dxa" w:w="2400"/>
            <w:shd w:fill="1f6f5b" w:val="clear"/>
            <w:tcMar>
              <w:top w:type="dxa" w:w="100"/>
              <w:left w:type="dxa" w:w="120"/>
              <w:bottom w:type="dxa" w:w="100"/>
              <w:right w:type="dxa" w:w="120"/>
            </w:tcMar>
            <w:vAlign w:val="center"/>
          </w:tcPr>
          <w:p>
            <w:pPr>
              <w:jc w:val="left"/>
            </w:pPr>
            <w:r>
              <w:rPr>
                <w:b/>
                <w:bCs/>
                <w:color w:val="FFFFFF"/>
                <w:sz w:val="20"/>
                <w:szCs w:val="20"/>
              </w:rPr>
              <w:t xml:space="preserve">Forecast horizon</w:t>
            </w:r>
          </w:p>
        </w:tc>
        <w:tc>
          <w:tcPr>
            <w:tcW w:type="dxa" w:w="2400"/>
            <w:shd w:fill="1f6f5b" w:val="clear"/>
            <w:tcMar>
              <w:top w:type="dxa" w:w="100"/>
              <w:left w:type="dxa" w:w="120"/>
              <w:bottom w:type="dxa" w:w="100"/>
              <w:right w:type="dxa" w:w="120"/>
            </w:tcMar>
            <w:vAlign w:val="center"/>
          </w:tcPr>
          <w:p>
            <w:pPr>
              <w:jc w:val="left"/>
            </w:pPr>
            <w:r>
              <w:rPr>
                <w:b/>
                <w:bCs/>
                <w:color w:val="FFFFFF"/>
                <w:sz w:val="20"/>
                <w:szCs w:val="20"/>
              </w:rPr>
              <w:t xml:space="preserve">Model holdout MAE</w:t>
            </w:r>
          </w:p>
        </w:tc>
        <w:tc>
          <w:tcPr>
            <w:tcW w:type="dxa" w:w="2600"/>
            <w:shd w:fill="1f6f5b" w:val="clear"/>
            <w:tcMar>
              <w:top w:type="dxa" w:w="100"/>
              <w:left w:type="dxa" w:w="120"/>
              <w:bottom w:type="dxa" w:w="100"/>
              <w:right w:type="dxa" w:w="120"/>
            </w:tcMar>
            <w:vAlign w:val="center"/>
          </w:tcPr>
          <w:p>
            <w:pPr>
              <w:jc w:val="left"/>
            </w:pPr>
            <w:r>
              <w:rPr>
                <w:b/>
                <w:bCs/>
                <w:color w:val="FFFFFF"/>
                <w:sz w:val="20"/>
                <w:szCs w:val="20"/>
              </w:rPr>
              <w:t xml:space="preserve">Latest history</w:t>
            </w:r>
          </w:p>
        </w:tc>
      </w:tr>
      <w:tr>
        <w:tc>
          <w:tcPr>
            <w:tcW w:type="dxa" w:w="2400"/>
            <w:tcMar>
              <w:top w:type="dxa" w:w="100"/>
              <w:left w:type="dxa" w:w="120"/>
              <w:bottom w:type="dxa" w:w="100"/>
              <w:right w:type="dxa" w:w="120"/>
            </w:tcMar>
            <w:vAlign w:val="center"/>
          </w:tcPr>
          <w:p>
            <w:pPr>
              <w:jc w:val="center"/>
            </w:pPr>
            <w:r>
              <w:rPr>
                <w:b w:val="false"/>
                <w:bCs w:val="false"/>
                <w:color w:val="1f2937"/>
                <w:sz w:val="20"/>
                <w:szCs w:val="20"/>
              </w:rPr>
              <w:t xml:space="preserve">$6,737,218,987</w:t>
            </w:r>
          </w:p>
        </w:tc>
        <w:tc>
          <w:tcPr>
            <w:tcW w:type="dxa" w:w="2400"/>
            <w:tcMar>
              <w:top w:type="dxa" w:w="100"/>
              <w:left w:type="dxa" w:w="120"/>
              <w:bottom w:type="dxa" w:w="100"/>
              <w:right w:type="dxa" w:w="120"/>
            </w:tcMar>
            <w:vAlign w:val="center"/>
          </w:tcPr>
          <w:p>
            <w:pPr>
              <w:jc w:val="center"/>
            </w:pPr>
            <w:r>
              <w:rPr>
                <w:b w:val="false"/>
                <w:bCs w:val="false"/>
                <w:color w:val="1f2937"/>
                <w:sz w:val="20"/>
                <w:szCs w:val="20"/>
              </w:rPr>
              <w:t xml:space="preserve">$1,631,831,136</w:t>
            </w:r>
          </w:p>
        </w:tc>
        <w:tc>
          <w:tcPr>
            <w:tcW w:type="dxa" w:w="2400"/>
            <w:tcMar>
              <w:top w:type="dxa" w:w="100"/>
              <w:left w:type="dxa" w:w="120"/>
              <w:bottom w:type="dxa" w:w="100"/>
              <w:right w:type="dxa" w:w="120"/>
            </w:tcMar>
            <w:vAlign w:val="center"/>
          </w:tcPr>
          <w:p>
            <w:pPr>
              <w:jc w:val="center"/>
            </w:pPr>
            <w:r>
              <w:rPr>
                <w:b w:val="false"/>
                <w:bCs w:val="false"/>
                <w:color w:val="1f2937"/>
                <w:sz w:val="20"/>
                <w:szCs w:val="20"/>
              </w:rPr>
              <w:t xml:space="preserve">$3,909.72</w:t>
            </w:r>
          </w:p>
        </w:tc>
        <w:tc>
          <w:tcPr>
            <w:tcW w:type="dxa" w:w="2600"/>
            <w:tcMar>
              <w:top w:type="dxa" w:w="100"/>
              <w:left w:type="dxa" w:w="120"/>
              <w:bottom w:type="dxa" w:w="100"/>
              <w:right w:type="dxa" w:w="120"/>
            </w:tcMar>
            <w:vAlign w:val="center"/>
          </w:tcPr>
          <w:p>
            <w:pPr>
              <w:jc w:val="center"/>
            </w:pPr>
            <w:r>
              <w:rPr>
                <w:b w:val="false"/>
                <w:bCs w:val="false"/>
                <w:color w:val="1f2937"/>
                <w:sz w:val="20"/>
                <w:szCs w:val="20"/>
              </w:rPr>
              <w:t xml:space="preserve">26 Oct 2012</w:t>
            </w:r>
          </w:p>
        </w:tc>
      </w:tr>
    </w:tbl>
    <w:p>
      <w:pPr>
        <w:spacing w:after="160"/>
      </w:pPr>
      <w:r>
        <w:t xml:space="preserve"/>
      </w:r>
    </w:p>
    <w:p>
      <w:pPr>
        <w:spacing w:after="160"/>
      </w:pPr>
      <w:r>
        <w:t xml:space="preserve">The holdout MAE of $3,909.72 comes from a chronological validation split: the model is fit on all rows before 31 Aug 2012 (394,879 rows) and evaluated on the final 8 weeks (26,691 rows) before being refit on the full training set for the actual forecast.</w:t>
      </w:r>
    </w:p>
    <w:p>
      <w:pPr>
        <w:pStyle w:val="Heading1"/>
        <w:spacing w:after="150" w:before="300"/>
      </w:pPr>
      <w:r>
        <w:t xml:space="preserve">5. Weekly Sales Trend Chart</w:t>
      </w:r>
    </w:p>
    <w:p>
      <w:pPr>
        <w:spacing w:after="160"/>
      </w:pPr>
      <w:r>
        <w:t xml:space="preserve">A Plotly line chart (px.line) plots historical weekly sales in green (#1f6f5b) against the forecast in orange (#d36b3c), with a unified hover tooltip. Aggregated across all stores and departments, it looks like this:</w:t>
      </w:r>
    </w:p>
    <w:p>
      <w:pPr>
        <w:spacing w:after="10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71750"/>
                    </a:xfrm>
                    <a:prstGeom prst="rect">
                      <a:avLst/>
                    </a:prstGeom>
                  </pic:spPr>
                </pic:pic>
              </a:graphicData>
            </a:graphic>
          </wp:inline>
        </w:drawing>
      </w:r>
    </w:p>
    <w:p>
      <w:pPr>
        <w:spacing w:after="300"/>
        <w:jc w:val="center"/>
      </w:pPr>
      <w:r>
        <w:rPr>
          <w:i/>
          <w:iCs/>
          <w:color w:val="6b7280"/>
          <w:sz w:val="20"/>
          <w:szCs w:val="20"/>
        </w:rPr>
        <w:t xml:space="preserve">Weekly sales trend — All stores, all departments</w:t>
      </w:r>
    </w:p>
    <w:p>
      <w:pPr>
        <w:spacing w:after="160"/>
      </w:pPr>
      <w:r>
        <w:t xml:space="preserve">The recurring spikes each late November / December are the Thanksgiving and Christmas holiday weeks flagged by IsHoliday; the forecast segment picks up the same seasonal shape for the 2012 holiday period before easing into 2013.</w:t>
      </w:r>
    </w:p>
    <w:p>
      <w:pPr>
        <w:pStyle w:val="Heading1"/>
        <w:spacing w:after="150" w:before="300"/>
      </w:pPr>
      <w:r>
        <w:t xml:space="preserve">6. Forecast Detail Table</w:t>
      </w:r>
    </w:p>
    <w:p>
      <w:pPr>
        <w:spacing w:after="160"/>
      </w:pPr>
      <w:r>
        <w:t xml:space="preserve">Below the chart, st.dataframe lists every forecast row for the current filter, sorted by date with the forecast formatted as currency. For Store 1 / Department 1, the first rows of that table are: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4200"/>
      </w:tblGrid>
      <w:tr>
        <w:tc>
          <w:tcPr>
            <w:tcW w:type="dxa" w:w="2000"/>
            <w:shd w:fill="1f6f5b" w:val="clear"/>
            <w:tcMar>
              <w:top w:type="dxa" w:w="100"/>
              <w:left w:type="dxa" w:w="120"/>
              <w:bottom w:type="dxa" w:w="100"/>
              <w:right w:type="dxa" w:w="120"/>
            </w:tcMar>
            <w:vAlign w:val="center"/>
          </w:tcPr>
          <w:p>
            <w:pPr>
              <w:jc w:val="left"/>
            </w:pPr>
            <w:r>
              <w:rPr>
                <w:b/>
                <w:bCs/>
                <w:color w:val="FFFFFF"/>
                <w:sz w:val="20"/>
                <w:szCs w:val="20"/>
              </w:rPr>
              <w:t xml:space="preserve">Store</w:t>
            </w:r>
          </w:p>
        </w:tc>
        <w:tc>
          <w:tcPr>
            <w:tcW w:type="dxa" w:w="1600"/>
            <w:shd w:fill="1f6f5b" w:val="clear"/>
            <w:tcMar>
              <w:top w:type="dxa" w:w="100"/>
              <w:left w:type="dxa" w:w="120"/>
              <w:bottom w:type="dxa" w:w="100"/>
              <w:right w:type="dxa" w:w="120"/>
            </w:tcMar>
            <w:vAlign w:val="center"/>
          </w:tcPr>
          <w:p>
            <w:pPr>
              <w:jc w:val="left"/>
            </w:pPr>
            <w:r>
              <w:rPr>
                <w:b/>
                <w:bCs/>
                <w:color w:val="FFFFFF"/>
                <w:sz w:val="20"/>
                <w:szCs w:val="20"/>
              </w:rPr>
              <w:t xml:space="preserve">Dept</w:t>
            </w:r>
          </w:p>
        </w:tc>
        <w:tc>
          <w:tcPr>
            <w:tcW w:type="dxa" w:w="2000"/>
            <w:shd w:fill="1f6f5b" w:val="clear"/>
            <w:tcMar>
              <w:top w:type="dxa" w:w="100"/>
              <w:left w:type="dxa" w:w="120"/>
              <w:bottom w:type="dxa" w:w="100"/>
              <w:right w:type="dxa" w:w="120"/>
            </w:tcMar>
            <w:vAlign w:val="center"/>
          </w:tcPr>
          <w:p>
            <w:pPr>
              <w:jc w:val="left"/>
            </w:pPr>
            <w:r>
              <w:rPr>
                <w:b/>
                <w:bCs/>
                <w:color w:val="FFFFFF"/>
                <w:sz w:val="20"/>
                <w:szCs w:val="20"/>
              </w:rPr>
              <w:t xml:space="preserve">Date</w:t>
            </w:r>
          </w:p>
        </w:tc>
        <w:tc>
          <w:tcPr>
            <w:tcW w:type="dxa" w:w="4200"/>
            <w:shd w:fill="1f6f5b" w:val="clear"/>
            <w:tcMar>
              <w:top w:type="dxa" w:w="100"/>
              <w:left w:type="dxa" w:w="120"/>
              <w:bottom w:type="dxa" w:w="100"/>
              <w:right w:type="dxa" w:w="120"/>
            </w:tcMar>
            <w:vAlign w:val="center"/>
          </w:tcPr>
          <w:p>
            <w:pPr>
              <w:jc w:val="left"/>
            </w:pPr>
            <w:r>
              <w:rPr>
                <w:b/>
                <w:bCs/>
                <w:color w:val="FFFFFF"/>
                <w:sz w:val="20"/>
                <w:szCs w:val="20"/>
              </w:rPr>
              <w:t xml:space="preserve">Forecast</w:t>
            </w:r>
          </w:p>
        </w:tc>
      </w:tr>
      <w:tr>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1</w:t>
            </w:r>
          </w:p>
        </w:tc>
        <w:tc>
          <w:tcPr>
            <w:tcW w:type="dxa" w:w="1600"/>
            <w:tcMar>
              <w:top w:type="dxa" w:w="100"/>
              <w:left w:type="dxa" w:w="120"/>
              <w:bottom w:type="dxa" w:w="100"/>
              <w:right w:type="dxa" w:w="120"/>
            </w:tcMar>
            <w:vAlign w:val="center"/>
          </w:tcPr>
          <w:p>
            <w:pPr>
              <w:jc w:val="center"/>
            </w:pPr>
            <w:r>
              <w:rPr>
                <w:b w:val="false"/>
                <w:bCs w:val="false"/>
                <w:color w:val="1f2937"/>
                <w:sz w:val="20"/>
                <w:szCs w:val="20"/>
              </w:rPr>
              <w:t xml:space="preserve">1</w:t>
            </w:r>
          </w:p>
        </w:tc>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02 Nov 2012</w:t>
            </w:r>
          </w:p>
        </w:tc>
        <w:tc>
          <w:tcPr>
            <w:tcW w:type="dxa" w:w="4200"/>
            <w:tcMar>
              <w:top w:type="dxa" w:w="100"/>
              <w:left w:type="dxa" w:w="120"/>
              <w:bottom w:type="dxa" w:w="100"/>
              <w:right w:type="dxa" w:w="120"/>
            </w:tcMar>
            <w:vAlign w:val="center"/>
          </w:tcPr>
          <w:p>
            <w:pPr>
              <w:jc w:val="right"/>
            </w:pPr>
            <w:r>
              <w:rPr>
                <w:b w:val="false"/>
                <w:bCs w:val="false"/>
                <w:color w:val="1f2937"/>
                <w:sz w:val="20"/>
                <w:szCs w:val="20"/>
              </w:rPr>
              <w:t xml:space="preserve">$20,952.29</w:t>
            </w:r>
          </w:p>
        </w:tc>
      </w:tr>
      <w:tr>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1</w:t>
            </w:r>
          </w:p>
        </w:tc>
        <w:tc>
          <w:tcPr>
            <w:tcW w:type="dxa" w:w="1600"/>
            <w:tcMar>
              <w:top w:type="dxa" w:w="100"/>
              <w:left w:type="dxa" w:w="120"/>
              <w:bottom w:type="dxa" w:w="100"/>
              <w:right w:type="dxa" w:w="120"/>
            </w:tcMar>
            <w:vAlign w:val="center"/>
          </w:tcPr>
          <w:p>
            <w:pPr>
              <w:jc w:val="center"/>
            </w:pPr>
            <w:r>
              <w:rPr>
                <w:b w:val="false"/>
                <w:bCs w:val="false"/>
                <w:color w:val="1f2937"/>
                <w:sz w:val="20"/>
                <w:szCs w:val="20"/>
              </w:rPr>
              <w:t xml:space="preserve">1</w:t>
            </w:r>
          </w:p>
        </w:tc>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09 Nov 2012</w:t>
            </w:r>
          </w:p>
        </w:tc>
        <w:tc>
          <w:tcPr>
            <w:tcW w:type="dxa" w:w="4200"/>
            <w:tcMar>
              <w:top w:type="dxa" w:w="100"/>
              <w:left w:type="dxa" w:w="120"/>
              <w:bottom w:type="dxa" w:w="100"/>
              <w:right w:type="dxa" w:w="120"/>
            </w:tcMar>
            <w:vAlign w:val="center"/>
          </w:tcPr>
          <w:p>
            <w:pPr>
              <w:jc w:val="right"/>
            </w:pPr>
            <w:r>
              <w:rPr>
                <w:b w:val="false"/>
                <w:bCs w:val="false"/>
                <w:color w:val="1f2937"/>
                <w:sz w:val="20"/>
                <w:szCs w:val="20"/>
              </w:rPr>
              <w:t xml:space="preserve">$20,494.22</w:t>
            </w:r>
          </w:p>
        </w:tc>
      </w:tr>
      <w:tr>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1</w:t>
            </w:r>
          </w:p>
        </w:tc>
        <w:tc>
          <w:tcPr>
            <w:tcW w:type="dxa" w:w="1600"/>
            <w:tcMar>
              <w:top w:type="dxa" w:w="100"/>
              <w:left w:type="dxa" w:w="120"/>
              <w:bottom w:type="dxa" w:w="100"/>
              <w:right w:type="dxa" w:w="120"/>
            </w:tcMar>
            <w:vAlign w:val="center"/>
          </w:tcPr>
          <w:p>
            <w:pPr>
              <w:jc w:val="center"/>
            </w:pPr>
            <w:r>
              <w:rPr>
                <w:b w:val="false"/>
                <w:bCs w:val="false"/>
                <w:color w:val="1f2937"/>
                <w:sz w:val="20"/>
                <w:szCs w:val="20"/>
              </w:rPr>
              <w:t xml:space="preserve">1</w:t>
            </w:r>
          </w:p>
        </w:tc>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16 Nov 2012</w:t>
            </w:r>
          </w:p>
        </w:tc>
        <w:tc>
          <w:tcPr>
            <w:tcW w:type="dxa" w:w="4200"/>
            <w:tcMar>
              <w:top w:type="dxa" w:w="100"/>
              <w:left w:type="dxa" w:w="120"/>
              <w:bottom w:type="dxa" w:w="100"/>
              <w:right w:type="dxa" w:w="120"/>
            </w:tcMar>
            <w:vAlign w:val="center"/>
          </w:tcPr>
          <w:p>
            <w:pPr>
              <w:jc w:val="right"/>
            </w:pPr>
            <w:r>
              <w:rPr>
                <w:b w:val="false"/>
                <w:bCs w:val="false"/>
                <w:color w:val="1f2937"/>
                <w:sz w:val="20"/>
                <w:szCs w:val="20"/>
              </w:rPr>
              <w:t xml:space="preserve">$20,927.38</w:t>
            </w:r>
          </w:p>
        </w:tc>
      </w:tr>
      <w:tr>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1</w:t>
            </w:r>
          </w:p>
        </w:tc>
        <w:tc>
          <w:tcPr>
            <w:tcW w:type="dxa" w:w="1600"/>
            <w:tcMar>
              <w:top w:type="dxa" w:w="100"/>
              <w:left w:type="dxa" w:w="120"/>
              <w:bottom w:type="dxa" w:w="100"/>
              <w:right w:type="dxa" w:w="120"/>
            </w:tcMar>
            <w:vAlign w:val="center"/>
          </w:tcPr>
          <w:p>
            <w:pPr>
              <w:jc w:val="center"/>
            </w:pPr>
            <w:r>
              <w:rPr>
                <w:b w:val="false"/>
                <w:bCs w:val="false"/>
                <w:color w:val="1f2937"/>
                <w:sz w:val="20"/>
                <w:szCs w:val="20"/>
              </w:rPr>
              <w:t xml:space="preserve">1</w:t>
            </w:r>
          </w:p>
        </w:tc>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23 Nov 2012</w:t>
            </w:r>
          </w:p>
        </w:tc>
        <w:tc>
          <w:tcPr>
            <w:tcW w:type="dxa" w:w="4200"/>
            <w:tcMar>
              <w:top w:type="dxa" w:w="100"/>
              <w:left w:type="dxa" w:w="120"/>
              <w:bottom w:type="dxa" w:w="100"/>
              <w:right w:type="dxa" w:w="120"/>
            </w:tcMar>
            <w:vAlign w:val="center"/>
          </w:tcPr>
          <w:p>
            <w:pPr>
              <w:jc w:val="right"/>
            </w:pPr>
            <w:r>
              <w:rPr>
                <w:b w:val="false"/>
                <w:bCs w:val="false"/>
                <w:color w:val="1f2937"/>
                <w:sz w:val="20"/>
                <w:szCs w:val="20"/>
              </w:rPr>
              <w:t xml:space="preserve">$24,066.61</w:t>
            </w:r>
          </w:p>
        </w:tc>
      </w:tr>
      <w:tr>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1</w:t>
            </w:r>
          </w:p>
        </w:tc>
        <w:tc>
          <w:tcPr>
            <w:tcW w:type="dxa" w:w="1600"/>
            <w:tcMar>
              <w:top w:type="dxa" w:w="100"/>
              <w:left w:type="dxa" w:w="120"/>
              <w:bottom w:type="dxa" w:w="100"/>
              <w:right w:type="dxa" w:w="120"/>
            </w:tcMar>
            <w:vAlign w:val="center"/>
          </w:tcPr>
          <w:p>
            <w:pPr>
              <w:jc w:val="center"/>
            </w:pPr>
            <w:r>
              <w:rPr>
                <w:b w:val="false"/>
                <w:bCs w:val="false"/>
                <w:color w:val="1f2937"/>
                <w:sz w:val="20"/>
                <w:szCs w:val="20"/>
              </w:rPr>
              <w:t xml:space="preserve">1</w:t>
            </w:r>
          </w:p>
        </w:tc>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30 Nov 2012</w:t>
            </w:r>
          </w:p>
        </w:tc>
        <w:tc>
          <w:tcPr>
            <w:tcW w:type="dxa" w:w="4200"/>
            <w:tcMar>
              <w:top w:type="dxa" w:w="100"/>
              <w:left w:type="dxa" w:w="120"/>
              <w:bottom w:type="dxa" w:w="100"/>
              <w:right w:type="dxa" w:w="120"/>
            </w:tcMar>
            <w:vAlign w:val="center"/>
          </w:tcPr>
          <w:p>
            <w:pPr>
              <w:jc w:val="right"/>
            </w:pPr>
            <w:r>
              <w:rPr>
                <w:b w:val="false"/>
                <w:bCs w:val="false"/>
                <w:color w:val="1f2937"/>
                <w:sz w:val="20"/>
                <w:szCs w:val="20"/>
              </w:rPr>
              <w:t xml:space="preserve">$23,659.39</w:t>
            </w:r>
          </w:p>
        </w:tc>
      </w:tr>
      <w:tr>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1</w:t>
            </w:r>
          </w:p>
        </w:tc>
        <w:tc>
          <w:tcPr>
            <w:tcW w:type="dxa" w:w="1600"/>
            <w:tcMar>
              <w:top w:type="dxa" w:w="100"/>
              <w:left w:type="dxa" w:w="120"/>
              <w:bottom w:type="dxa" w:w="100"/>
              <w:right w:type="dxa" w:w="120"/>
            </w:tcMar>
            <w:vAlign w:val="center"/>
          </w:tcPr>
          <w:p>
            <w:pPr>
              <w:jc w:val="center"/>
            </w:pPr>
            <w:r>
              <w:rPr>
                <w:b w:val="false"/>
                <w:bCs w:val="false"/>
                <w:color w:val="1f2937"/>
                <w:sz w:val="20"/>
                <w:szCs w:val="20"/>
              </w:rPr>
              <w:t xml:space="preserve">1</w:t>
            </w:r>
          </w:p>
        </w:tc>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07 Dec 2012</w:t>
            </w:r>
          </w:p>
        </w:tc>
        <w:tc>
          <w:tcPr>
            <w:tcW w:type="dxa" w:w="4200"/>
            <w:tcMar>
              <w:top w:type="dxa" w:w="100"/>
              <w:left w:type="dxa" w:w="120"/>
              <w:bottom w:type="dxa" w:w="100"/>
              <w:right w:type="dxa" w:w="120"/>
            </w:tcMar>
            <w:vAlign w:val="center"/>
          </w:tcPr>
          <w:p>
            <w:pPr>
              <w:jc w:val="right"/>
            </w:pPr>
            <w:r>
              <w:rPr>
                <w:b w:val="false"/>
                <w:bCs w:val="false"/>
                <w:color w:val="1f2937"/>
                <w:sz w:val="20"/>
                <w:szCs w:val="20"/>
              </w:rPr>
              <w:t xml:space="preserve">$23,437.23</w:t>
            </w:r>
          </w:p>
        </w:tc>
      </w:tr>
      <w:tr>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1</w:t>
            </w:r>
          </w:p>
        </w:tc>
        <w:tc>
          <w:tcPr>
            <w:tcW w:type="dxa" w:w="1600"/>
            <w:tcMar>
              <w:top w:type="dxa" w:w="100"/>
              <w:left w:type="dxa" w:w="120"/>
              <w:bottom w:type="dxa" w:w="100"/>
              <w:right w:type="dxa" w:w="120"/>
            </w:tcMar>
            <w:vAlign w:val="center"/>
          </w:tcPr>
          <w:p>
            <w:pPr>
              <w:jc w:val="center"/>
            </w:pPr>
            <w:r>
              <w:rPr>
                <w:b w:val="false"/>
                <w:bCs w:val="false"/>
                <w:color w:val="1f2937"/>
                <w:sz w:val="20"/>
                <w:szCs w:val="20"/>
              </w:rPr>
              <w:t xml:space="preserve">1</w:t>
            </w:r>
          </w:p>
        </w:tc>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14 Dec 2012</w:t>
            </w:r>
          </w:p>
        </w:tc>
        <w:tc>
          <w:tcPr>
            <w:tcW w:type="dxa" w:w="4200"/>
            <w:tcMar>
              <w:top w:type="dxa" w:w="100"/>
              <w:left w:type="dxa" w:w="120"/>
              <w:bottom w:type="dxa" w:w="100"/>
              <w:right w:type="dxa" w:w="120"/>
            </w:tcMar>
            <w:vAlign w:val="center"/>
          </w:tcPr>
          <w:p>
            <w:pPr>
              <w:jc w:val="right"/>
            </w:pPr>
            <w:r>
              <w:rPr>
                <w:b w:val="false"/>
                <w:bCs w:val="false"/>
                <w:color w:val="1f2937"/>
                <w:sz w:val="20"/>
                <w:szCs w:val="20"/>
              </w:rPr>
              <w:t xml:space="preserve">$27,826.28</w:t>
            </w:r>
          </w:p>
        </w:tc>
      </w:tr>
      <w:tr>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1</w:t>
            </w:r>
          </w:p>
        </w:tc>
        <w:tc>
          <w:tcPr>
            <w:tcW w:type="dxa" w:w="1600"/>
            <w:tcMar>
              <w:top w:type="dxa" w:w="100"/>
              <w:left w:type="dxa" w:w="120"/>
              <w:bottom w:type="dxa" w:w="100"/>
              <w:right w:type="dxa" w:w="120"/>
            </w:tcMar>
            <w:vAlign w:val="center"/>
          </w:tcPr>
          <w:p>
            <w:pPr>
              <w:jc w:val="center"/>
            </w:pPr>
            <w:r>
              <w:rPr>
                <w:b w:val="false"/>
                <w:bCs w:val="false"/>
                <w:color w:val="1f2937"/>
                <w:sz w:val="20"/>
                <w:szCs w:val="20"/>
              </w:rPr>
              <w:t xml:space="preserve">1</w:t>
            </w:r>
          </w:p>
        </w:tc>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21 Dec 2012</w:t>
            </w:r>
          </w:p>
        </w:tc>
        <w:tc>
          <w:tcPr>
            <w:tcW w:type="dxa" w:w="4200"/>
            <w:tcMar>
              <w:top w:type="dxa" w:w="100"/>
              <w:left w:type="dxa" w:w="120"/>
              <w:bottom w:type="dxa" w:w="100"/>
              <w:right w:type="dxa" w:w="120"/>
            </w:tcMar>
            <w:vAlign w:val="center"/>
          </w:tcPr>
          <w:p>
            <w:pPr>
              <w:jc w:val="right"/>
            </w:pPr>
            <w:r>
              <w:rPr>
                <w:b w:val="false"/>
                <w:bCs w:val="false"/>
                <w:color w:val="1f2937"/>
                <w:sz w:val="20"/>
                <w:szCs w:val="20"/>
              </w:rPr>
              <w:t xml:space="preserve">$30,291.75</w:t>
            </w:r>
          </w:p>
        </w:tc>
      </w:tr>
    </w:tbl>
    <w:p>
      <w:pPr>
        <w:spacing w:after="160"/>
      </w:pPr>
      <w:r>
        <w:t xml:space="preserve"/>
      </w:r>
    </w:p>
    <w:p>
      <w:pPr>
        <w:spacing w:after="160"/>
      </w:pPr>
      <w:r>
        <w:t xml:space="preserve">With no filters applied this table holds all 115,064 forecast rows; narrowing to one store/department (as above) reduces it to that combination's weekly rows only — 39 weeks for Store 1, Dept 1.</w:t>
      </w:r>
    </w:p>
    <w:p>
      <w:pPr>
        <w:pStyle w:val="Heading1"/>
        <w:spacing w:after="150" w:before="300"/>
      </w:pPr>
      <w:r>
        <w:t xml:space="preserve">7. Download Control</w:t>
      </w:r>
    </w:p>
    <w:p>
      <w:pPr>
        <w:spacing w:after="160"/>
      </w:pPr>
      <w:r>
        <w:t xml:space="preserve">A st.download_button at the bottom of the page exports the full, unfiltered forecast (all stores and departments, 115,064 rows) as walmart_sales_forecast.csv, with columns Store, Dept, Date, Forecast — independent of whatever sidebar filter is currently applied.</w:t>
      </w:r>
    </w:p>
    <w:p>
      <w:pPr>
        <w:pStyle w:val="Heading1"/>
        <w:spacing w:after="150" w:before="300"/>
      </w:pPr>
      <w:r>
        <w:t xml:space="preserve">8. Example of a Filtered View — Store 1, Department 1</w:t>
      </w:r>
    </w:p>
    <w:p>
      <w:pPr>
        <w:spacing w:after="160"/>
      </w:pPr>
      <w:r>
        <w:t xml:space="preserve">Choosing Store = 1 and Department = 1 in the sidebar updates every element above. The summary metrics become: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600"/>
      </w:tblGrid>
      <w:tr>
        <w:tc>
          <w:tcPr>
            <w:tcW w:type="dxa" w:w="2400"/>
            <w:shd w:fill="1f6f5b" w:val="clear"/>
            <w:tcMar>
              <w:top w:type="dxa" w:w="100"/>
              <w:left w:type="dxa" w:w="120"/>
              <w:bottom w:type="dxa" w:w="100"/>
              <w:right w:type="dxa" w:w="120"/>
            </w:tcMar>
            <w:vAlign w:val="center"/>
          </w:tcPr>
          <w:p>
            <w:pPr>
              <w:jc w:val="left"/>
            </w:pPr>
            <w:r>
              <w:rPr>
                <w:b/>
                <w:bCs/>
                <w:color w:val="FFFFFF"/>
                <w:sz w:val="20"/>
                <w:szCs w:val="20"/>
              </w:rPr>
              <w:t xml:space="preserve">Historical sales</w:t>
            </w:r>
          </w:p>
        </w:tc>
        <w:tc>
          <w:tcPr>
            <w:tcW w:type="dxa" w:w="2400"/>
            <w:shd w:fill="1f6f5b" w:val="clear"/>
            <w:tcMar>
              <w:top w:type="dxa" w:w="100"/>
              <w:left w:type="dxa" w:w="120"/>
              <w:bottom w:type="dxa" w:w="100"/>
              <w:right w:type="dxa" w:w="120"/>
            </w:tcMar>
            <w:vAlign w:val="center"/>
          </w:tcPr>
          <w:p>
            <w:pPr>
              <w:jc w:val="left"/>
            </w:pPr>
            <w:r>
              <w:rPr>
                <w:b/>
                <w:bCs/>
                <w:color w:val="FFFFFF"/>
                <w:sz w:val="20"/>
                <w:szCs w:val="20"/>
              </w:rPr>
              <w:t xml:space="preserve">Forecast horizon</w:t>
            </w:r>
          </w:p>
        </w:tc>
        <w:tc>
          <w:tcPr>
            <w:tcW w:type="dxa" w:w="2400"/>
            <w:shd w:fill="1f6f5b" w:val="clear"/>
            <w:tcMar>
              <w:top w:type="dxa" w:w="100"/>
              <w:left w:type="dxa" w:w="120"/>
              <w:bottom w:type="dxa" w:w="100"/>
              <w:right w:type="dxa" w:w="120"/>
            </w:tcMar>
            <w:vAlign w:val="center"/>
          </w:tcPr>
          <w:p>
            <w:pPr>
              <w:jc w:val="left"/>
            </w:pPr>
            <w:r>
              <w:rPr>
                <w:b/>
                <w:bCs/>
                <w:color w:val="FFFFFF"/>
                <w:sz w:val="20"/>
                <w:szCs w:val="20"/>
              </w:rPr>
              <w:t xml:space="preserve">Model holdout MAE</w:t>
            </w:r>
          </w:p>
        </w:tc>
        <w:tc>
          <w:tcPr>
            <w:tcW w:type="dxa" w:w="2600"/>
            <w:shd w:fill="1f6f5b" w:val="clear"/>
            <w:tcMar>
              <w:top w:type="dxa" w:w="100"/>
              <w:left w:type="dxa" w:w="120"/>
              <w:bottom w:type="dxa" w:w="100"/>
              <w:right w:type="dxa" w:w="120"/>
            </w:tcMar>
            <w:vAlign w:val="center"/>
          </w:tcPr>
          <w:p>
            <w:pPr>
              <w:jc w:val="left"/>
            </w:pPr>
            <w:r>
              <w:rPr>
                <w:b/>
                <w:bCs/>
                <w:color w:val="FFFFFF"/>
                <w:sz w:val="20"/>
                <w:szCs w:val="20"/>
              </w:rPr>
              <w:t xml:space="preserve">Latest history</w:t>
            </w:r>
          </w:p>
        </w:tc>
      </w:tr>
      <w:tr>
        <w:tc>
          <w:tcPr>
            <w:tcW w:type="dxa" w:w="2400"/>
            <w:tcMar>
              <w:top w:type="dxa" w:w="100"/>
              <w:left w:type="dxa" w:w="120"/>
              <w:bottom w:type="dxa" w:w="100"/>
              <w:right w:type="dxa" w:w="120"/>
            </w:tcMar>
            <w:vAlign w:val="center"/>
          </w:tcPr>
          <w:p>
            <w:pPr>
              <w:jc w:val="center"/>
            </w:pPr>
            <w:r>
              <w:rPr>
                <w:b w:val="false"/>
                <w:bCs w:val="false"/>
                <w:color w:val="1f2937"/>
                <w:sz w:val="20"/>
                <w:szCs w:val="20"/>
              </w:rPr>
              <w:t xml:space="preserve">$3,219,405</w:t>
            </w:r>
          </w:p>
        </w:tc>
        <w:tc>
          <w:tcPr>
            <w:tcW w:type="dxa" w:w="2400"/>
            <w:tcMar>
              <w:top w:type="dxa" w:w="100"/>
              <w:left w:type="dxa" w:w="120"/>
              <w:bottom w:type="dxa" w:w="100"/>
              <w:right w:type="dxa" w:w="120"/>
            </w:tcMar>
            <w:vAlign w:val="center"/>
          </w:tcPr>
          <w:p>
            <w:pPr>
              <w:jc w:val="center"/>
            </w:pPr>
            <w:r>
              <w:rPr>
                <w:b w:val="false"/>
                <w:bCs w:val="false"/>
                <w:color w:val="1f2937"/>
                <w:sz w:val="20"/>
                <w:szCs w:val="20"/>
              </w:rPr>
              <w:t xml:space="preserve">$853,099</w:t>
            </w:r>
          </w:p>
        </w:tc>
        <w:tc>
          <w:tcPr>
            <w:tcW w:type="dxa" w:w="2400"/>
            <w:tcMar>
              <w:top w:type="dxa" w:w="100"/>
              <w:left w:type="dxa" w:w="120"/>
              <w:bottom w:type="dxa" w:w="100"/>
              <w:right w:type="dxa" w:w="120"/>
            </w:tcMar>
            <w:vAlign w:val="center"/>
          </w:tcPr>
          <w:p>
            <w:pPr>
              <w:jc w:val="center"/>
            </w:pPr>
            <w:r>
              <w:rPr>
                <w:b w:val="false"/>
                <w:bCs w:val="false"/>
                <w:color w:val="1f2937"/>
                <w:sz w:val="20"/>
                <w:szCs w:val="20"/>
              </w:rPr>
              <w:t xml:space="preserve">$3,909.72</w:t>
            </w:r>
          </w:p>
        </w:tc>
        <w:tc>
          <w:tcPr>
            <w:tcW w:type="dxa" w:w="2600"/>
            <w:tcMar>
              <w:top w:type="dxa" w:w="100"/>
              <w:left w:type="dxa" w:w="120"/>
              <w:bottom w:type="dxa" w:w="100"/>
              <w:right w:type="dxa" w:w="120"/>
            </w:tcMar>
            <w:vAlign w:val="center"/>
          </w:tcPr>
          <w:p>
            <w:pPr>
              <w:jc w:val="center"/>
            </w:pPr>
            <w:r>
              <w:rPr>
                <w:b w:val="false"/>
                <w:bCs w:val="false"/>
                <w:color w:val="1f2937"/>
                <w:sz w:val="20"/>
                <w:szCs w:val="20"/>
              </w:rPr>
              <w:t xml:space="preserve">26 Oct 2012</w:t>
            </w:r>
          </w:p>
        </w:tc>
      </w:tr>
    </w:tbl>
    <w:p>
      <w:pPr>
        <w:spacing w:after="160"/>
      </w:pPr>
      <w:r>
        <w:t xml:space="preserve"/>
      </w:r>
    </w:p>
    <w:p>
      <w:pPr>
        <w:spacing w:after="160"/>
      </w:pPr>
      <w:r>
        <w:t xml:space="preserve">...and the trend chart narrows to that single store/department series:</w:t>
      </w:r>
    </w:p>
    <w:p>
      <w:pPr>
        <w:spacing w:after="10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571750"/>
                    </a:xfrm>
                    <a:prstGeom prst="rect">
                      <a:avLst/>
                    </a:prstGeom>
                  </pic:spPr>
                </pic:pic>
              </a:graphicData>
            </a:graphic>
          </wp:inline>
        </w:drawing>
      </w:r>
    </w:p>
    <w:p>
      <w:pPr>
        <w:spacing w:after="300"/>
        <w:jc w:val="center"/>
      </w:pPr>
      <w:r>
        <w:rPr>
          <w:i/>
          <w:iCs/>
          <w:color w:val="6b7280"/>
          <w:sz w:val="20"/>
          <w:szCs w:val="20"/>
        </w:rPr>
        <w:t xml:space="preserve">Weekly sales trend — Store 1, Dept 1</w:t>
      </w:r>
    </w:p>
    <w:p>
      <w:pPr>
        <w:pStyle w:val="Heading1"/>
        <w:spacing w:after="150" w:before="300"/>
      </w:pPr>
      <w:r>
        <w:t xml:space="preserve">9. Notes</w:t>
      </w:r>
    </w:p>
    <w:p>
      <w:pPr>
        <w:pStyle w:val="ListParagraph"/>
        <w:numPr>
          <w:ilvl w:val="0"/>
          <w:numId w:val="1"/>
        </w:numPr>
        <w:spacing w:after="80"/>
      </w:pPr>
      <w:r>
        <w:t xml:space="preserve">Values are deterministic for a given data snapshot: the model uses random_state=42, so re-running the app against the same four CSVs reproduces the same MAE and forecasts shown here.</w:t>
      </w:r>
    </w:p>
    <w:p>
      <w:pPr>
        <w:pStyle w:val="ListParagraph"/>
        <w:numPr>
          <w:ilvl w:val="0"/>
          <w:numId w:val="1"/>
        </w:numPr>
        <w:spacing w:after="80"/>
      </w:pPr>
      <w:r>
        <w:t xml:space="preserve">MarkDown1–5 are heavily missing before Nov 2011 and are filled with 0 rather than imputed, which the README already flags as a candidate follow-up.</w:t>
      </w:r>
    </w:p>
    <w:p>
      <w:pPr>
        <w:pStyle w:val="ListParagraph"/>
        <w:numPr>
          <w:ilvl w:val="0"/>
          <w:numId w:val="1"/>
        </w:numPr>
        <w:spacing w:after="80"/>
      </w:pPr>
      <w:r>
        <w:t xml:space="preserve">The chart images above were rendered outside Streamlit (matplotlib, same colors and series) to document the output without a running server; the live app renders the equivalent as an interactive Plotly chart.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Walmart Sales Forecasting — Dashboard Output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b4e5fda29541e92bf52bcbfcf6ca9b6fdfc680.png"/><Relationship Id="rId10" Type="http://schemas.openxmlformats.org/officeDocument/2006/relationships/image" Target="media/241e4f82fca4282695e761e11f9f39591f07cdf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2026-09-20T11:21:52.098Z</dcterms:created>
  <dcterms:modified xsi:type="dcterms:W3CDTF">2026-09-20T11:21:52.107Z</dcterms:modified>
</cp:coreProperties>
</file>

<file path=docProps/custom.xml><?xml version="1.0" encoding="utf-8"?>
<Properties xmlns="http://schemas.openxmlformats.org/officeDocument/2006/custom-properties" xmlns:vt="http://schemas.openxmlformats.org/officeDocument/2006/docPropsVTypes"/>
</file>