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Заявление о регистрации декларации о соответствии продукции требованиям ТР ТС</w:t>
      </w:r>
      <w:r/>
    </w:p>
    <w:p>
      <w:pPr>
        <w:pStyle w:val="Normal"/>
        <w:spacing w:lineRule="auto" w:line="240" w:before="0" w:after="0"/>
        <w:jc w:val="end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end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 xml:space="preserve">Руководителю ОС                                                   </w:t>
      </w:r>
      <w:r/>
    </w:p>
    <w:p>
      <w:pPr>
        <w:pStyle w:val="Normal"/>
        <w:spacing w:lineRule="auto" w:line="240" w:before="0" w:after="0"/>
        <w:jc w:val="end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ООО «МилТест»</w:t>
      </w:r>
      <w:r/>
    </w:p>
    <w:p>
      <w:pPr>
        <w:pStyle w:val="Normal"/>
        <w:spacing w:lineRule="auto" w:line="240" w:before="0" w:after="0"/>
        <w:jc w:val="end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Неугодову В.Ю.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№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>от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Заявитель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Николай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организации-изготовителя, продавца (далее-заявитель)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юридический адрес, телефон, факс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банковские реквизиты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должность, фамилия, имя, отчество руководителя</w:t>
      </w:r>
      <w:r/>
    </w:p>
    <w:p>
      <w:pPr>
        <w:pStyle w:val="AC1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Style17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</w:rPr>
        <w:t>просит зарегистрировать декларацию о соответствии продукции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35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59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65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Код ТН ВЭД ТС  </w:t>
            </w:r>
            <w:r/>
          </w:p>
        </w:tc>
        <w:tc>
          <w:tcPr>
            <w:tcW w:w="65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3AS</w:t>
            </w:r>
            <w:r/>
          </w:p>
        </w:tc>
      </w:tr>
    </w:tbl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партия определенного размера, или единица продукции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</w:t>
      </w:r>
      <w:r>
        <w:rPr>
          <w:rFonts w:ascii="Symbol" w:hAnsi="Symbol"/>
          <w:b/>
          <w:bCs/>
          <w:color w:val="000000"/>
          <w:sz w:val="24"/>
          <w:szCs w:val="24"/>
        </w:rPr>
        <w:t>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по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адрес изготовителя, телефон</w:t>
      </w:r>
      <w:r/>
    </w:p>
    <w:p>
      <w:pPr>
        <w:pStyle w:val="AC1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128905</wp:posOffset>
                </wp:positionV>
                <wp:extent cx="6849745" cy="10795"/>
                <wp:effectExtent l="0" t="0" r="0" b="0"/>
                <wp:wrapNone/>
                <wp:docPr id="1" name="Прямая со стрелкой 1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849000" cy="10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9.1pt;margin-top:10.15pt;width:539.25pt;height:0.7pt;flip:y" type="shapetype_32">
                <v:stroke color="black" weight="936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соответствие требованиям ТР ТС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AC1"/>
      </w:pP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наименование и обозначение 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ТР ТС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Заявитель обязуется выполнять правила сертификации.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Дополнительные сведения: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AC1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документы, подтверждающие соответствие продукции требованиям нормативных документов</w:t>
      </w:r>
      <w:r/>
    </w:p>
    <w:tbl>
      <w:tblPr>
        <w:tblW w:w="9571" w:type="dxa"/>
        <w:jc w:val="center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5"/>
        <w:gridCol w:w="1436"/>
        <w:gridCol w:w="3350"/>
      </w:tblGrid>
      <w:tr>
        <w:trPr/>
        <w:tc>
          <w:tcPr>
            <w:tcW w:w="47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Руководитель организации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436" w:type="dxa"/>
            <w:tcBorders/>
            <w:shd w:fill="auto" w:val="clear"/>
            <w:vAlign w:val="bottom"/>
          </w:tcPr>
          <w:p>
            <w:pPr>
              <w:pStyle w:val="Normal"/>
              <w:pBdr>
                <w:bottom w:val="single" w:sz="6" w:space="1" w:color="000000"/>
              </w:pBdr>
              <w:snapToGrid w:val="false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/>
              </w:rPr>
            </w:r>
            <w:r/>
          </w:p>
          <w:p>
            <w:pPr>
              <w:pStyle w:val="AC1"/>
              <w:rPr>
                <w:vertAlign w:val="superscript"/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ru-RU" w:eastAsia="ru-RU"/>
              </w:rPr>
              <w:t>подпись</w:t>
            </w:r>
            <w:r/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napToGrid w:val="false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vertAlign w:val="superscript"/>
              </w:rPr>
            </w:r>
            <w:r/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aaa</w:t>
            </w:r>
            <w:r/>
          </w:p>
          <w:p>
            <w:pPr>
              <w:pStyle w:val="AC1"/>
              <w:rPr>
                <w:vertAlign w:val="superscript"/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ru-RU" w:eastAsia="ru-RU"/>
              </w:rPr>
              <w:t xml:space="preserve">инициалы, фамилия </w:t>
            </w:r>
            <w:r/>
          </w:p>
        </w:tc>
      </w:tr>
      <w:tr>
        <w:trPr/>
        <w:tc>
          <w:tcPr>
            <w:tcW w:w="47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</w:t>
            </w:r>
            <w:r/>
          </w:p>
        </w:tc>
        <w:tc>
          <w:tcPr>
            <w:tcW w:w="1436" w:type="dxa"/>
            <w:tcBorders/>
            <w:shd w:fill="auto" w:val="clear"/>
            <w:vAlign w:val="bottom"/>
          </w:tcPr>
          <w:p>
            <w:pPr>
              <w:pStyle w:val="AC1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</w:r>
            <w:r/>
          </w:p>
        </w:tc>
        <w:tc>
          <w:tcPr>
            <w:tcW w:w="3350" w:type="dxa"/>
            <w:tcBorders/>
            <w:shd w:fill="auto" w:val="clear"/>
            <w:vAlign w:val="bottom"/>
          </w:tcPr>
          <w:p>
            <w:pPr>
              <w:pStyle w:val="AC1"/>
              <w:rPr>
                <w:vertAlign w:val="superscript"/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Дата</w:t>
            </w:r>
            <w:r/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М.П.</w:t>
            </w:r>
            <w:r/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hd w:fill="00FF00" w:val="clear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00FF00" w:val="clear"/>
              </w:rPr>
            </w:r>
            <w:r/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i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iCs/>
          <w:sz w:val="24"/>
          <w:szCs w:val="24"/>
        </w:rPr>
        <w:t>Примечания: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i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iCs/>
          <w:sz w:val="24"/>
          <w:szCs w:val="24"/>
        </w:rPr>
        <w:t>*Если заявителем является продавец, то после слова «выпускаемой» записывается: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изготовителем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адрес изготовителя, телефон</w:t>
      </w:r>
      <w:r/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napToGrid w:val="false"/>
              <w:spacing w:lineRule="auto" w:line="24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keepLines/>
              <w:suppressAutoHyphens w:val="true"/>
              <w:spacing w:lineRule="auto" w:line="240" w:before="0" w:after="20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В.Ю. Неугодов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20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spacing w:lineRule="auto" w:line="24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РЕШЕНИЕ ПО ЗАЯВЛЕНИЮ  №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 результате рассмотрения заявления № …….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от «___»_________20____г.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Заявитель: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Николай</w:t>
      </w:r>
      <w:r/>
    </w:p>
    <w:p>
      <w:pPr>
        <w:pStyle w:val="Normal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sz w:val="24"/>
          <w:szCs w:val="24"/>
        </w:rPr>
        <w:t>:_</w:t>
      </w:r>
      <w:r>
        <w:rPr>
          <w:rFonts w:cs="Times New Roman" w:ascii="Times New Roman" w:hAnsi="Times New Roman"/>
          <w:bCs/>
          <w:color w:val="000000"/>
          <w:sz w:val="24"/>
          <w:szCs w:val="24"/>
          <w:u w:val="single"/>
          <w:lang w:val="en-US"/>
        </w:rPr>
        <w:t>4ef</w:t>
      </w:r>
      <w:r>
        <w:rPr>
          <w:rFonts w:cs="Times New Roman" w:ascii="Times New Roman" w:hAnsi="Times New Roman"/>
          <w:sz w:val="24"/>
          <w:szCs w:val="24"/>
        </w:rPr>
        <w:t>_, дата внесения записи: _________., инспекция:_________________________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Юридический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/>
    </w:p>
    <w:p>
      <w:pPr>
        <w:pStyle w:val="Normal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sz w:val="24"/>
          <w:szCs w:val="24"/>
        </w:rPr>
        <w:t xml:space="preserve">Телефон/факс: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 /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/>
    </w:p>
    <w:tbl>
      <w:tblPr>
        <w:tblW w:w="9004" w:type="dxa"/>
        <w:jc w:val="start"/>
        <w:tblInd w:w="567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6"/>
        <w:gridCol w:w="8058"/>
      </w:tblGrid>
      <w:tr>
        <w:trPr/>
        <w:tc>
          <w:tcPr>
            <w:tcW w:w="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лице</w:t>
            </w:r>
            <w:r/>
          </w:p>
        </w:tc>
        <w:tc>
          <w:tcPr>
            <w:tcW w:w="805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ind w:start="567" w:end="4" w:hanging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Должность, фамилия, имя, отчество руководителя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 регистрацию декларации о соответствии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bCs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Алексей 706</w:t>
      </w:r>
      <w:r/>
    </w:p>
    <w:p>
      <w:pPr>
        <w:pStyle w:val="Normal"/>
        <w:spacing w:lineRule="auto" w:line="240" w:before="0" w:after="0"/>
        <w:ind w:start="567" w:hanging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продукции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 xml:space="preserve">Код ТН ВЭД ТС: 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start="567" w:end="4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3AS</w:t>
      </w:r>
      <w:r/>
    </w:p>
    <w:p>
      <w:pPr>
        <w:pStyle w:val="Normal"/>
        <w:spacing w:lineRule="auto" w:line="240" w:before="0" w:after="0"/>
        <w:ind w:start="567" w:end="4" w:hanging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Выпускается серийно или партия определенного размера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выпускаемой изготовителем</w:t>
      </w:r>
      <w:r/>
    </w:p>
    <w:p>
      <w:pPr>
        <w:pStyle w:val="TextBody"/>
        <w:spacing w:lineRule="auto" w:line="240" w:before="0" w:after="0"/>
        <w:ind w:start="567" w:hanging="0"/>
      </w:pPr>
      <w:r>
        <w:rPr>
          <w:rFonts w:cs="Times New Roman" w:ascii="Times New Roman" w:hAnsi="Times New Roman"/>
          <w:sz w:val="24"/>
          <w:szCs w:val="24"/>
        </w:rPr>
        <w:t>Изготовитель: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 xml:space="preserve">Протоколы испытаний №№ 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12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start="567" w:hanging="0"/>
      </w:pPr>
      <w:r>
        <w:rPr>
          <w:rFonts w:cs="Times New Roman" w:ascii="Times New Roman" w:hAnsi="Times New Roman"/>
          <w:b/>
          <w:bCs/>
          <w:sz w:val="24"/>
          <w:szCs w:val="24"/>
        </w:rPr>
        <w:t>1. Продукция</w:t>
      </w: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start="567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spacing w:lineRule="auto" w:line="240" w:before="0" w:after="0"/>
        <w:ind w:start="567" w:hanging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продукции</w:t>
      </w:r>
      <w:r/>
    </w:p>
    <w:tbl>
      <w:tblPr>
        <w:tblW w:w="8896" w:type="dxa"/>
        <w:jc w:val="start"/>
        <w:tblInd w:w="675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4692"/>
        <w:gridCol w:w="4204"/>
      </w:tblGrid>
      <w:tr>
        <w:trPr/>
        <w:tc>
          <w:tcPr>
            <w:tcW w:w="46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/>
          </w:p>
        </w:tc>
        <w:tc>
          <w:tcPr>
            <w:tcW w:w="4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находится в области аккредитации ОС</w:t>
            </w:r>
            <w:r/>
          </w:p>
        </w:tc>
      </w:tr>
    </w:tbl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Отказать в регистрации декларации о соответствии заявленной продукции требованиям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Normal"/>
        <w:spacing w:lineRule="auto" w:line="240" w:before="0" w:after="0"/>
        <w:ind w:start="567" w:end="4" w:hanging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Обозначение ТР ТС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Обоснование для отказа в регистрации декларации о соответствии: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center"/>
        <w:rPr>
          <w:vertAlign w:val="superscript"/>
          <w:sz w:val="24"/>
          <w:sz w:val="24"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Заполняется при отрицательном решении</w:t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Руководитель ОС _________________        ________________________ И.О. Фамилия</w:t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sz w:val="24"/>
          <w:szCs w:val="24"/>
        </w:rPr>
        <w:t xml:space="preserve">Исполнитель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________________________ И.О. Фамилия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en-US"/>
        </w:rPr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page">
                <wp:posOffset>5148580</wp:posOffset>
              </wp:positionH>
              <wp:positionV relativeFrom="page">
                <wp:posOffset>9639300</wp:posOffset>
              </wp:positionV>
              <wp:extent cx="1659890" cy="31813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181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>Д.А. Полякова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25.05pt;mso-wrap-distance-left:9.05pt;mso-wrap-distance-right:9.05pt;margin-top:75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ru-RU" w:bidi="ar-SA"/>
                      </w:rPr>
                    </w:pPr>
                    <w:r>
                      <w:rPr>
                        <w:rFonts w:cs="Times New Roman" w:ascii="Times New Roman" w:hAnsi="Times New Roman"/>
                      </w:rPr>
                      <w:t>Д.А. Полякова</w:t>
                    </w:r>
                  </w:p>
                  <w:p>
                    <w:pPr>
                      <w:pStyle w:val="Normal"/>
                      <w:spacing w:before="0" w:after="200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8">
              <wp:simplePos x="0" y="0"/>
              <wp:positionH relativeFrom="page">
                <wp:posOffset>5148580</wp:posOffset>
              </wp:positionH>
              <wp:positionV relativeFrom="page">
                <wp:posOffset>10020300</wp:posOffset>
              </wp:positionV>
              <wp:extent cx="1659890" cy="38481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84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uto" w:line="276" w:before="0" w:after="200"/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 xml:space="preserve">Ю.Ю. </w:t>
                          </w: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 xml:space="preserve">Борисенко 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30.3pt;mso-wrap-distance-left:9.05pt;mso-wrap-distance-right:9.05pt;margin-top:78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widowControl/>
                      <w:bidi w:val="0"/>
                      <w:spacing w:lineRule="auto" w:line="276" w:before="0" w:after="200"/>
                    </w:pPr>
                    <w:r>
                      <w:rPr>
                        <w:rFonts w:cs="Times New Roman" w:ascii="Times New Roman" w:hAnsi="Times New Roman"/>
                      </w:rPr>
                      <w:t xml:space="preserve">Ю.Ю. </w:t>
                    </w:r>
                    <w:r>
                      <w:rPr>
                        <w:rFonts w:cs="Times New Roman" w:ascii="Times New Roman" w:hAnsi="Times New Roman"/>
                        <w:lang w:val="en-US"/>
                      </w:rPr>
                      <w:t xml:space="preserve">Борисенко </w:t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page">
                <wp:posOffset>5148580</wp:posOffset>
              </wp:positionH>
              <wp:positionV relativeFrom="page">
                <wp:posOffset>314325</wp:posOffset>
              </wp:positionV>
              <wp:extent cx="2098675" cy="339725"/>
              <wp:effectExtent l="0" t="0" r="0" b="0"/>
              <wp:wrapNone/>
              <wp:docPr id="2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8675" cy="3397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uto" w:line="276" w:before="0" w:after="200"/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>RU С- DE.АЛ88.В.0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>2546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65.25pt;height:26.75pt;mso-wrap-distance-left:9.05pt;mso-wrap-distance-right:9.05pt;margin-top:24.75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widowControl/>
                      <w:bidi w:val="0"/>
                      <w:spacing w:lineRule="auto" w:line="276" w:before="0" w:after="200"/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  <w:t>RU С- DE.АЛ88.В.0</w:t>
                    </w:r>
                    <w:r>
                      <w:rPr>
                        <w:rFonts w:cs="Times New Roman" w:ascii="Times New Roman" w:hAnsi="Times New Roman"/>
                      </w:rPr>
                      <w:t>2546</w:t>
                    </w:r>
                  </w:p>
                </w:txbxContent>
              </v:textbox>
            </v:rect>
          </w:pict>
        </mc:Fallback>
      </mc:AlternateConten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8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3228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8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8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5388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8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8"/>
        </w:tabs>
        <w:ind w:star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rPr/>
  </w:style>
  <w:style w:type="character" w:styleId="AC">
    <w:name w:val="AC Текст под линейкой Знак"/>
    <w:rPr>
      <w:rFonts w:ascii="Arial" w:hAnsi="Arial" w:eastAsia="Times New Roman" w:cs="Times New Roman"/>
      <w:color w:val="000000"/>
      <w:sz w:val="10"/>
      <w:szCs w:val="10"/>
      <w:lang w:val="en-US"/>
    </w:rPr>
  </w:style>
  <w:style w:type="character" w:styleId="Style15">
    <w:name w:val="АС Текст бланка (полужирный) Знак"/>
    <w:rPr>
      <w:rFonts w:ascii="Arial" w:hAnsi="Arial" w:eastAsia="Times New Roman" w:cs="Times New Roman"/>
      <w:b/>
      <w:bCs/>
      <w:color w:val="000000"/>
      <w:sz w:val="20"/>
      <w:szCs w:val="20"/>
      <w:lang w:val="en-US"/>
    </w:rPr>
  </w:style>
  <w:style w:type="character" w:styleId="Style16">
    <w:name w:val="Основной текст Знак"/>
    <w:rPr>
      <w:rFonts w:ascii="Calibri" w:hAnsi="Calibri" w:eastAsia="Calibri" w:cs="Times New Roman"/>
      <w:sz w:val="20"/>
      <w:szCs w:val="20"/>
      <w:lang w:val="en-US"/>
    </w:rPr>
  </w:style>
  <w:style w:type="character" w:styleId="FontStyle51">
    <w:name w:val="Font Style5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>
      <w:sz w:val="20"/>
      <w:szCs w:val="20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AC1">
    <w:name w:val="AC Текст под линейкой"/>
    <w:basedOn w:val="Normal"/>
    <w:pPr>
      <w:keepLines/>
      <w:autoSpaceDE w:val="false"/>
      <w:spacing w:lineRule="auto" w:line="240" w:before="0" w:after="0"/>
      <w:jc w:val="center"/>
    </w:pPr>
    <w:rPr>
      <w:rFonts w:ascii="Arial" w:hAnsi="Arial" w:eastAsia="Times New Roman" w:cs="Arial"/>
      <w:color w:val="000000"/>
      <w:sz w:val="10"/>
      <w:szCs w:val="10"/>
      <w:lang w:val="en-US"/>
    </w:rPr>
  </w:style>
  <w:style w:type="paragraph" w:styleId="Style17">
    <w:name w:val="АС Текст бланка (полужирный)"/>
    <w:basedOn w:val="Normal"/>
    <w:pPr>
      <w:keepNext/>
      <w:keepLines/>
      <w:autoSpaceDE w:val="false"/>
      <w:spacing w:lineRule="auto" w:line="240" w:before="0" w:after="0"/>
    </w:pPr>
    <w:rPr>
      <w:rFonts w:ascii="Arial" w:hAnsi="Arial" w:eastAsia="Times New Roman" w:cs="Arial"/>
      <w:b/>
      <w:bCs/>
      <w:color w:val="000000"/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2016-08-08T07:18:00Z</dcterms:created>
  <dc:creator>Юлия Борисенко</dc:creator>
  <dc:language>en-US</dc:language>
  <cp:lastModifiedBy>Игорь</cp:lastModifiedBy>
  <dcterms:modified xsi:type="dcterms:W3CDTF">2016-08-08T08:08:00Z</dcterms:modified>
  <cp:revision>4</cp:revision>
</cp:coreProperties>
</file>