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 w:val="22"/>
          <w:szCs w:val="22"/>
          <w:rFonts w:ascii="Arial" w:hAnsi="Arial" w:eastAsia="Times New Roman" w:cs="Arial"/>
          <w:color w:val="auto"/>
          <w:lang w:val="en-US" w:bidi="ar-SA"/>
        </w:rPr>
      </w:pPr>
      <w:r>
        <w:rPr>
          <w:lang w:val="en-US"/>
        </w:rPr>
      </w:r>
      <w:r/>
    </w:p>
    <w:p>
      <w:pPr>
        <w:pStyle w:val="Normal"/>
        <w:ind w:firstLine="3090"/>
        <w:rPr>
          <w:rFonts w:ascii="Times New Roman" w:hAnsi="Times New Roman" w:cs="Times New Roman"/>
        </w:rPr>
      </w:pPr>
      <w:r>
        <w:rPr>
          <w:rFonts w:eastAsia="Arial"/>
        </w:rPr>
        <w:t xml:space="preserve">    </w:t>
      </w:r>
      <w:r>
        <w:rPr>
          <w:rFonts w:cs="Times New Roman" w:ascii="Times New Roman" w:hAnsi="Times New Roman"/>
        </w:rPr>
        <w:t xml:space="preserve">Орган по сертификации Общества с ограниченной ответственностью «СоюзТест». Место нахождения: Российская Федерация, 119049, город Москва, Ленинский проспект, дом 1/2, корпус 1. Фактический адрес: Российская Федерация, 119049, город Москва, Ленинский проспект, дом 1/2, корпус 1. Телефон: +74959599220, факс: +74959599220, адрес электронной почты: </w:t>
      </w:r>
      <w:r>
        <w:rPr>
          <w:rFonts w:cs="Times New Roman" w:ascii="Times New Roman" w:hAnsi="Times New Roman"/>
          <w:lang w:val="en-US"/>
        </w:rPr>
        <w:t>infotest</w:t>
      </w:r>
      <w:r>
        <w:rPr>
          <w:rFonts w:cs="Times New Roman" w:ascii="Times New Roman" w:hAnsi="Times New Roman"/>
        </w:rPr>
        <w:t>@</w:t>
      </w:r>
      <w:r>
        <w:rPr>
          <w:rFonts w:cs="Times New Roman" w:ascii="Times New Roman" w:hAnsi="Times New Roman"/>
          <w:lang w:val="en-US"/>
        </w:rPr>
        <w:t>bk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ru</w:t>
      </w:r>
      <w:r>
        <w:rPr>
          <w:rFonts w:cs="Times New Roman" w:ascii="Times New Roman" w:hAnsi="Times New Roman"/>
        </w:rPr>
        <w:t xml:space="preserve">, аттестат аккредитации № РОСС </w:t>
      </w:r>
      <w:r>
        <w:rPr>
          <w:rFonts w:cs="Times New Roman" w:ascii="Times New Roman" w:hAnsi="Times New Roman"/>
          <w:lang w:val="en-US"/>
        </w:rPr>
        <w:t>RU</w:t>
      </w:r>
      <w:r>
        <w:rPr>
          <w:rFonts w:cs="Times New Roman" w:ascii="Times New Roman" w:hAnsi="Times New Roman"/>
        </w:rPr>
        <w:t>.0001.11АЛ88, выдан 21.01.2014 Федеральной службой по аккредитации.</w:t>
      </w:r>
      <w:r/>
    </w:p>
    <w:p>
      <w:pPr>
        <w:pStyle w:val="Normal"/>
        <w:ind w:firstLine="1247"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  <w:lang w:val="en-US"/>
        </w:rPr>
        <w:t xml:space="preserve">Алексей 706. </w:t>
      </w:r>
      <w:r>
        <w:rPr>
          <w:rFonts w:cs="Times New Roman" w:ascii="Times New Roman" w:hAnsi="Times New Roman"/>
        </w:rPr>
        <w:t>Место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нахождения</w:t>
      </w:r>
      <w:r>
        <w:rPr>
          <w:rFonts w:cs="Times New Roman" w:ascii="Times New Roman" w:hAnsi="Times New Roman"/>
          <w:lang w:val="en-US"/>
        </w:rPr>
        <w:t>: вааааааааааааппп</w:t>
      </w:r>
      <w:r>
        <w:rPr>
          <w:rFonts w:cs="Times New Roman" w:ascii="Times New Roman" w:hAnsi="Times New Roman"/>
          <w:color w:val="000000"/>
          <w:lang w:val="en-US"/>
        </w:rPr>
        <w:t>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Фактический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адрес</w:t>
      </w:r>
      <w:r>
        <w:rPr>
          <w:rFonts w:cs="Times New Roman" w:ascii="Times New Roman" w:hAnsi="Times New Roman"/>
          <w:lang w:val="en-US"/>
        </w:rPr>
        <w:t xml:space="preserve">: Борисоглебская. ОГРН: </w:t>
      </w:r>
      <w:r>
        <w:rPr>
          <w:rFonts w:cs="Times New Roman" w:ascii="Times New Roman" w:hAnsi="Times New Roman"/>
          <w:bCs/>
          <w:color w:val="000000"/>
          <w:lang w:val="en-US"/>
        </w:rPr>
        <w:t>4ef</w:t>
      </w:r>
      <w:r>
        <w:rPr>
          <w:rFonts w:cs="Times New Roman" w:ascii="Times New Roman" w:hAnsi="Times New Roman"/>
          <w:lang w:val="en-US"/>
        </w:rPr>
        <w:t xml:space="preserve">. </w:t>
      </w:r>
      <w:r>
        <w:rPr>
          <w:rFonts w:cs="Times New Roman" w:ascii="Times New Roman" w:hAnsi="Times New Roman"/>
        </w:rPr>
        <w:t>Телефон</w:t>
      </w:r>
      <w:r>
        <w:rPr>
          <w:rFonts w:cs="Times New Roman" w:ascii="Times New Roman" w:hAnsi="Times New Roman"/>
          <w:lang w:val="en-US"/>
        </w:rPr>
        <w:t xml:space="preserve">: 9182619320, </w:t>
      </w:r>
      <w:r>
        <w:rPr>
          <w:rFonts w:cs="Times New Roman" w:ascii="Times New Roman" w:hAnsi="Times New Roman"/>
        </w:rPr>
        <w:t>факс</w:t>
      </w:r>
      <w:r>
        <w:rPr>
          <w:rFonts w:cs="Times New Roman" w:ascii="Times New Roman" w:hAnsi="Times New Roman"/>
          <w:lang w:val="en-US"/>
        </w:rPr>
        <w:t xml:space="preserve">: 9182619320, </w:t>
      </w:r>
      <w:r>
        <w:rPr>
          <w:rFonts w:cs="Times New Roman" w:ascii="Times New Roman" w:hAnsi="Times New Roman"/>
        </w:rPr>
        <w:t>адрес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электронной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почты</w:t>
      </w:r>
      <w:r>
        <w:rPr>
          <w:rFonts w:cs="Times New Roman" w:ascii="Times New Roman" w:hAnsi="Times New Roman"/>
          <w:lang w:val="en-US"/>
        </w:rPr>
        <w:t xml:space="preserve">: </w:t>
      </w:r>
      <w:r>
        <w:rPr>
          <w:rFonts w:cs="Times New Roman" w:ascii="Times New Roman" w:hAnsi="Times New Roman"/>
          <w:color w:val="000000"/>
          <w:lang w:val="en-US"/>
        </w:rPr>
        <w:t>beliknot@mail.ru</w:t>
      </w:r>
      <w:r>
        <w:rPr>
          <w:rFonts w:cs="Times New Roman" w:ascii="Times New Roman" w:hAnsi="Times New Roman"/>
          <w:lang w:val="en-US"/>
        </w:rPr>
        <w:t xml:space="preserve"> </w:t>
      </w:r>
      <w:r/>
    </w:p>
    <w:p>
      <w:pPr>
        <w:pStyle w:val="Normal"/>
        <w:keepLines/>
        <w:autoSpaceDE w:val="false"/>
        <w:spacing w:lineRule="auto" w:line="240"/>
        <w:ind w:firstLine="1843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lang w:val="en-US"/>
        </w:rPr>
        <w:t>3efewf.</w:t>
      </w:r>
      <w:r>
        <w:rPr>
          <w:rFonts w:cs="Times New Roman" w:ascii="Times New Roman" w:hAnsi="Times New Roman"/>
          <w:bCs/>
          <w:lang w:val="en-US"/>
        </w:rPr>
        <w:t xml:space="preserve"> </w:t>
      </w:r>
      <w:r>
        <w:rPr>
          <w:rFonts w:cs="Times New Roman" w:ascii="Times New Roman" w:hAnsi="Times New Roman"/>
          <w:bCs/>
        </w:rPr>
        <w:t>Место</w:t>
      </w:r>
      <w:r>
        <w:rPr>
          <w:rFonts w:cs="Times New Roman" w:ascii="Times New Roman" w:hAnsi="Times New Roman"/>
          <w:bCs/>
          <w:lang w:val="en-US"/>
        </w:rPr>
        <w:t xml:space="preserve"> </w:t>
      </w:r>
      <w:r>
        <w:rPr>
          <w:rFonts w:cs="Times New Roman" w:ascii="Times New Roman" w:hAnsi="Times New Roman"/>
          <w:bCs/>
        </w:rPr>
        <w:t>нахождения</w:t>
      </w:r>
      <w:r>
        <w:rPr>
          <w:rFonts w:cs="Times New Roman" w:ascii="Times New Roman" w:hAnsi="Times New Roman"/>
          <w:bCs/>
          <w:lang w:val="en-US"/>
        </w:rPr>
        <w:t xml:space="preserve">: </w:t>
      </w:r>
      <w:r>
        <w:rPr>
          <w:rFonts w:cs="Times New Roman" w:ascii="Times New Roman" w:hAnsi="Times New Roman"/>
          <w:lang w:val="en-US"/>
        </w:rPr>
        <w:t>Борисоглебская</w:t>
      </w:r>
      <w:r>
        <w:rPr>
          <w:rFonts w:cs="Times New Roman" w:ascii="Times New Roman" w:hAnsi="Times New Roman"/>
          <w:lang w:val="en-US" w:eastAsia="zh-CN"/>
        </w:rPr>
        <w:t>.</w:t>
      </w:r>
      <w:r/>
    </w:p>
    <w:p>
      <w:pPr>
        <w:pStyle w:val="Normal"/>
        <w:ind w:firstLine="1560"/>
      </w:pPr>
      <w:r>
        <w:rPr>
          <w:rFonts w:cs="Times New Roman" w:ascii="Times New Roman" w:hAnsi="Times New Roman"/>
          <w:shd w:fill="FFFFFF" w:val="clear"/>
          <w:lang w:val="en-US"/>
        </w:rPr>
        <w:t>Алексей 706</w:t>
      </w:r>
      <w:r/>
    </w:p>
    <w:p>
      <w:pPr>
        <w:pStyle w:val="Normal"/>
        <w:ind w:firstLine="1560"/>
        <w:rPr>
          <w:sz w:val="22"/>
          <w:shd w:fill="FFFFFF" w:val="clear"/>
          <w:sz w:val="22"/>
          <w:szCs w:val="22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hd w:fill="FFFFFF" w:val="clear"/>
          <w:lang w:val="en-US"/>
        </w:rPr>
      </w:r>
      <w:r/>
    </w:p>
    <w:p>
      <w:pPr>
        <w:pStyle w:val="Normal"/>
        <w:ind w:firstLine="1644"/>
        <w:rPr>
          <w:szCs w:val="24"/>
          <w:rFonts w:ascii="Times New Roman" w:hAnsi="Times New Roman" w:cs="Times New Roman"/>
          <w:lang w:val="en-US" w:eastAsia="ar-SA"/>
        </w:rPr>
      </w:pPr>
      <w:r>
        <w:rPr>
          <w:rFonts w:cs="Times New Roman" w:ascii="Times New Roman" w:hAnsi="Times New Roman"/>
          <w:szCs w:val="24"/>
          <w:lang w:eastAsia="ar-SA"/>
        </w:rPr>
        <w:t>3AS</w:t>
      </w:r>
      <w:r/>
    </w:p>
    <w:p>
      <w:pPr>
        <w:pStyle w:val="Normal"/>
        <w:ind w:firstLine="1644"/>
        <w:rPr>
          <w:strike/>
          <w:sz w:val="20"/>
          <w:sz w:val="20"/>
          <w:szCs w:val="22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trike/>
          <w:sz w:val="20"/>
          <w:lang w:val="en-US"/>
        </w:rPr>
      </w:r>
      <w:r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Технического Регламента Таможенного Союза ТР ТС 010/2011 «О безопасности машин и оборудования», утвержденного Решением Комиссии Таможенного Союза от 18.10.2011 № 823;</w:t>
      </w:r>
      <w:r/>
    </w:p>
    <w:p>
      <w:pPr>
        <w:pStyle w:val="Normal"/>
        <w:spacing w:lineRule="auto" w:line="360"/>
        <w:jc w:val="center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lang w:val="en-US"/>
        </w:rPr>
        <w:t>Протокола испытаний № ХХХХХХ, выданного Испытательной лабораторией электротехнической продукции ЭМС Общества с ограниченной ответственностью «Испытательная лаборатория электротехнической продукции ЭМС», аттестат аккредитации № POCC RU.0001.21МЭ48, действителен с 19.11.2014.</w:t>
      </w:r>
      <w:r/>
    </w:p>
    <w:p>
      <w:pPr>
        <w:pStyle w:val="Normal"/>
        <w:ind w:firstLine="391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1"/>
          <w:szCs w:val="21"/>
        </w:rPr>
        <w:t xml:space="preserve">   </w:t>
      </w:r>
      <w:r>
        <w:rPr>
          <w:rFonts w:cs="Times New Roman" w:ascii="Times New Roman" w:hAnsi="Times New Roman"/>
        </w:rPr>
        <w:t>Условия хранения: изделия должны храниться в складских помещениях при температуре не ниже 5 °С и не выше 40 °С, относительной влажности воздуха 50-70% и быть защищены от прямого попадания солнечных лучей и атмосферных воздействий. Срок хранения не ограничен, срок службы не ограничен. Сертификат без приложения не действителен.</w:t>
      </w:r>
      <w:r/>
    </w:p>
    <w:p>
      <w:pPr>
        <w:pStyle w:val="Normal"/>
      </w:pPr>
      <w:r>
        <w:rPr>
          <w:rFonts w:cs="Times New Roman" w:ascii="Times New Roman" w:hAnsi="Times New Roman"/>
        </w:rPr>
        <w:t>00.06.2016</w:t>
        <w:tab/>
        <w:tab/>
        <w:t>00.06.2019</w:t>
      </w:r>
      <w:r>
        <w:br w:type="page"/>
      </w:r>
      <w:r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Перечень продукции, на которую распространяется действие сертификата соответствия</w:t>
      </w:r>
      <w:r/>
    </w:p>
    <w:p>
      <w:pPr>
        <w:pStyle w:val="Normal"/>
        <w:tabs>
          <w:tab w:val="left" w:pos="5895" w:leader="none"/>
        </w:tabs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0"/>
          <w:szCs w:val="20"/>
        </w:rPr>
      </w:r>
      <w:r>
        <mc:AlternateContent>
          <mc:Choice Requires="wps">
            <w:drawing>
              <wp:anchor behindDoc="0" distT="0" distB="0" distL="0" distR="114300" simplePos="0" locked="0" layoutInCell="1" allowOverlap="1" relativeHeight="2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6413500" cy="39674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0" cy="3967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0100" w:type="dxa"/>
                              <w:jc w:val="start"/>
                              <w:tblInd w:w="108" w:type="dxa"/>
                              <w:tblBorders>
                                <w:top w:val="single" w:sz="4" w:space="0" w:color="000000"/>
                                <w:star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</w:tblBorders>
                              <w:tblCellMar>
                                <w:top w:w="0" w:type="dxa"/>
                                <w:start w:w="103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160"/>
                              <w:gridCol w:w="4226"/>
                              <w:gridCol w:w="3714"/>
                            </w:tblGrid>
                            <w:tr>
                              <w:trPr>
                                <w:tblHeader w:val="true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sz w:val="21"/>
                                      <w:sz w:val="21"/>
                                      <w:szCs w:val="21"/>
                                      <w:rFonts w:ascii="Times New Roman" w:hAnsi="Times New Roman" w:eastAsia="Times New Roman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1"/>
                                      <w:szCs w:val="21"/>
                                    </w:rPr>
                                    <w:t>Код ТН ВЭД ТС</w:t>
                                  </w:r>
                                </w:p>
                              </w:tc>
                              <w:tc>
                                <w:tcPr>
                                  <w:tcW w:w="422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sz w:val="21"/>
                                      <w:sz w:val="21"/>
                                      <w:szCs w:val="21"/>
                                      <w:rFonts w:ascii="Times New Roman" w:hAnsi="Times New Roman" w:eastAsia="Times New Roman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1"/>
                                      <w:szCs w:val="21"/>
                                    </w:rPr>
                                    <w:t>Наименование, типы, марки, модели однородной продукции, составные части изделия или комплекса</w:t>
                                  </w:r>
                                </w:p>
                              </w:tc>
                              <w:tc>
                                <w:tcPr>
                                  <w:tcW w:w="371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sz w:val="21"/>
                                      <w:sz w:val="21"/>
                                      <w:szCs w:val="21"/>
                                      <w:rFonts w:ascii="Times New Roman" w:hAnsi="Times New Roman" w:eastAsia="Times New Roman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1"/>
                                      <w:szCs w:val="21"/>
                                    </w:rPr>
                                    <w:t>Обозначение документации, по которой выпускается продукция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21"/>
                                      <w:sz w:val="21"/>
                                      <w:szCs w:val="21"/>
                                      <w:rFonts w:ascii="Times New Roman" w:hAnsi="Times New Roman" w:eastAsia="Times New Roman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1"/>
                                      <w:szCs w:val="21"/>
                                    </w:rPr>
                                    <w:t>9503009909</w:t>
                                  </w:r>
                                </w:p>
                              </w:tc>
                              <w:tc>
                                <w:tcPr>
                                  <w:tcW w:w="422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1"/>
                                      <w:sz w:val="21"/>
                                      <w:szCs w:val="21"/>
                                      <w:rFonts w:ascii="Times New Roman" w:hAnsi="Times New Roman" w:eastAsia="Times New Roman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1"/>
                                      <w:szCs w:val="21"/>
                                    </w:rPr>
                                    <w:t xml:space="preserve">Игрушки развивающие для детей старше трех лет деревянные, в том числе с магнитными элементами, с элементами из текстильных материалов, пластмассы, картона, стекла, без механизмов, с маркировкой «Spectra»: </w:t>
                                  </w:r>
                                </w:p>
                              </w:tc>
                              <w:tc>
                                <w:tcPr>
                                  <w:tcW w:w="371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1"/>
                                      <w:sz w:val="21"/>
                                      <w:szCs w:val="21"/>
                                      <w:rFonts w:ascii="Times New Roman" w:hAnsi="Times New Roman" w:eastAsia="Times New Roman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1"/>
                                      <w:szCs w:val="21"/>
                                    </w:rPr>
                                    <w:t>Директива 2009/48/EC Европейского парламента и совета от 18.06.2009 «Безопасность игрушек»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40" w:before="0" w:after="0"/>
                                    <w:rPr>
                                      <w:sz w:val="21"/>
                                      <w:sz w:val="21"/>
                                      <w:szCs w:val="21"/>
                                      <w:rFonts w:ascii="Times New Roman" w:hAnsi="Times New Roman" w:eastAsia="Times New Roman" w:cs="Times New Roman"/>
                                      <w:color w:val="auto"/>
                                      <w:lang w:val="ru-RU" w:eastAsia="ru-RU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1"/>
                                      <w:szCs w:val="21"/>
                                      <w:lang w:eastAsia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2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1"/>
                                      <w:sz w:val="21"/>
                                      <w:szCs w:val="21"/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1"/>
                                      <w:szCs w:val="21"/>
                                    </w:rPr>
                                    <w:t>«Кубики Никитина» в ассортименте, математическая игра «Магико» в ассортименте, «Математические кораблики» в ассортименте, «Бусы для ученика» в ассортименте; развивающие игры: «Волчок Кюкельхауза» в ассортименте, «Сенсино» (настольная), «Сенсино» (напольная), «Треугольник», «Скалолазы», «Пицца», «Гонщик» (напольная), «Гонщик» (настольная), «Зоопарк из Тарамбуко», «Баррикадо», «Книга-лабиринт», «Колоретто», «Каналетто», «Виколетто», «Бамбалео», «Подуй на шарик».</w:t>
                                  </w:r>
                                </w:p>
                              </w:tc>
                              <w:tc>
                                <w:tcPr>
                                  <w:tcW w:w="371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0"/>
                                    <w:rPr>
                                      <w:sz w:val="21"/>
                                      <w:sz w:val="21"/>
                                      <w:szCs w:val="21"/>
                                      <w:rFonts w:ascii="Times New Roman" w:hAnsi="Times New Roman" w:eastAsia="Times New Roman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width:505pt;height:312.4pt;mso-wrap-distance-left:0pt;mso-wrap-distance-right:9pt;margin-top:0.05pt;mso-position-vertical-relative:text;margin-left:-5.65pt;mso-position-horizontal-relative:text">
                <v:fill opacity="0f"/>
                <v:textbox>
                  <w:txbxContent>
                    <w:tbl>
                      <w:tblPr>
                        <w:tblW w:w="10100" w:type="dxa"/>
                        <w:jc w:val="start"/>
                        <w:tblInd w:w="108" w:type="dxa"/>
                        <w:tblBorders>
                          <w:top w:val="single" w:sz="4" w:space="0" w:color="000000"/>
                          <w:start w:val="single" w:sz="4" w:space="0" w:color="000000"/>
                          <w:bottom w:val="single" w:sz="4" w:space="0" w:color="000000"/>
                          <w:insideH w:val="single" w:sz="4" w:space="0" w:color="000000"/>
                        </w:tblBorders>
                        <w:tblCellMar>
                          <w:top w:w="0" w:type="dxa"/>
                          <w:start w:w="103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160"/>
                        <w:gridCol w:w="4226"/>
                        <w:gridCol w:w="3714"/>
                      </w:tblGrid>
                      <w:tr>
                        <w:trPr>
                          <w:tblHeader w:val="true"/>
                        </w:trPr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sz w:val="21"/>
                                <w:sz w:val="21"/>
                                <w:szCs w:val="21"/>
                                <w:rFonts w:ascii="Times New Roman" w:hAnsi="Times New Roman" w:eastAsia="Times New Roman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1"/>
                                <w:szCs w:val="21"/>
                              </w:rPr>
                              <w:t>Код ТН ВЭД ТС</w:t>
                            </w:r>
                          </w:p>
                        </w:tc>
                        <w:tc>
                          <w:tcPr>
                            <w:tcW w:w="422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sz w:val="21"/>
                                <w:sz w:val="21"/>
                                <w:szCs w:val="21"/>
                                <w:rFonts w:ascii="Times New Roman" w:hAnsi="Times New Roman" w:eastAsia="Times New Roman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1"/>
                                <w:szCs w:val="21"/>
                              </w:rPr>
                              <w:t>Наименование, типы, марки, модели однородной продукции, составные части изделия или комплекса</w:t>
                            </w:r>
                          </w:p>
                        </w:tc>
                        <w:tc>
                          <w:tcPr>
                            <w:tcW w:w="371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sz w:val="21"/>
                                <w:sz w:val="21"/>
                                <w:szCs w:val="21"/>
                                <w:rFonts w:ascii="Times New Roman" w:hAnsi="Times New Roman" w:eastAsia="Times New Roman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1"/>
                                <w:szCs w:val="21"/>
                              </w:rPr>
                              <w:t>Обозначение документации, по которой выпускается продукция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1"/>
                                <w:sz w:val="21"/>
                                <w:szCs w:val="21"/>
                                <w:rFonts w:ascii="Times New Roman" w:hAnsi="Times New Roman" w:eastAsia="Times New Roman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1"/>
                                <w:szCs w:val="21"/>
                              </w:rPr>
                              <w:t>9503009909</w:t>
                            </w:r>
                          </w:p>
                        </w:tc>
                        <w:tc>
                          <w:tcPr>
                            <w:tcW w:w="422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1"/>
                                <w:sz w:val="21"/>
                                <w:szCs w:val="21"/>
                                <w:rFonts w:ascii="Times New Roman" w:hAnsi="Times New Roman" w:eastAsia="Times New Roman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1"/>
                                <w:szCs w:val="21"/>
                              </w:rPr>
                              <w:t xml:space="preserve">Игрушки развивающие для детей старше трех лет деревянные, в том числе с магнитными элементами, с элементами из текстильных материалов, пластмассы, картона, стекла, без механизмов, с маркировкой «Spectra»: </w:t>
                            </w:r>
                          </w:p>
                        </w:tc>
                        <w:tc>
                          <w:tcPr>
                            <w:tcW w:w="371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1"/>
                                <w:sz w:val="21"/>
                                <w:szCs w:val="21"/>
                                <w:rFonts w:ascii="Times New Roman" w:hAnsi="Times New Roman" w:eastAsia="Times New Roman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1"/>
                                <w:szCs w:val="21"/>
                              </w:rPr>
                              <w:t>Директива 2009/48/EC Европейского парламента и совета от 18.06.2009 «Безопасность игрушек»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240" w:before="0" w:after="0"/>
                              <w:rPr>
                                <w:sz w:val="21"/>
                                <w:sz w:val="21"/>
                                <w:szCs w:val="21"/>
                                <w:rFonts w:ascii="Times New Roman" w:hAnsi="Times New Roman" w:eastAsia="Times New Roman" w:cs="Times New Roman"/>
                                <w:color w:val="auto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1"/>
                                <w:szCs w:val="21"/>
                                <w:lang w:eastAsia="ru-RU"/>
                              </w:rPr>
                            </w:r>
                          </w:p>
                        </w:tc>
                        <w:tc>
                          <w:tcPr>
                            <w:tcW w:w="422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1"/>
                                <w:sz w:val="21"/>
                                <w:szCs w:val="21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1"/>
                                <w:szCs w:val="21"/>
                              </w:rPr>
                              <w:t>«Кубики Никитина» в ассортименте, математическая игра «Магико» в ассортименте, «Математические кораблики» в ассортименте, «Бусы для ученика» в ассортименте; развивающие игры: «Волчок Кюкельхауза» в ассортименте, «Сенсино» (настольная), «Сенсино» (напольная), «Треугольник», «Скалолазы», «Пицца», «Гонщик» (напольная), «Гонщик» (настольная), «Зоопарк из Тарамбуко», «Баррикадо», «Книга-лабиринт», «Колоретто», «Каналетто», «Виколетто», «Бамбалео», «Подуй на шарик».</w:t>
                            </w:r>
                          </w:p>
                        </w:tc>
                        <w:tc>
                          <w:tcPr>
                            <w:tcW w:w="371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0"/>
                              <w:rPr>
                                <w:sz w:val="21"/>
                                <w:sz w:val="21"/>
                                <w:szCs w:val="21"/>
                                <w:rFonts w:ascii="Times New Roman" w:hAnsi="Times New Roman" w:eastAsia="Times New Roman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1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  <w:widowControl/>
        <w:bidi w:val="0"/>
        <w:spacing w:lineRule="auto" w:line="276" w:before="0" w:after="200"/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1134" w:right="567" w:header="709" w:top="765" w:footer="709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Arial">
    <w:charset w:val="cc" w:characterSet="windows-1251"/>
    <w:family w:val="swiss"/>
    <w:pitch w:val="variable"/>
  </w:font>
  <w:font w:name="Segoe UI">
    <w:charset w:val="cc" w:characterSet="windows-1251"/>
    <w:family w:val="swiss"/>
    <w:pitch w:val="variable"/>
  </w:font>
  <w:font w:name="Liberation Sans">
    <w:altName w:val="Arial"/>
    <w:charset w:val="00" w:characterSet="iso-8859-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>
      <mc:AlternateContent>
        <mc:Choice Requires="wps">
          <w:drawing>
            <wp:anchor behindDoc="1" distT="0" distB="0" distL="114935" distR="114935" simplePos="0" locked="0" layoutInCell="1" allowOverlap="1" relativeHeight="6">
              <wp:simplePos x="0" y="0"/>
              <wp:positionH relativeFrom="page">
                <wp:posOffset>5148580</wp:posOffset>
              </wp:positionH>
              <wp:positionV relativeFrom="page">
                <wp:posOffset>9639300</wp:posOffset>
              </wp:positionV>
              <wp:extent cx="1659890" cy="31813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9890" cy="3181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>
                              <w:sz w:val="22"/>
                              <w:sz w:val="22"/>
                              <w:szCs w:val="22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</w:rPr>
                            <w:t>Д.А. Полякова</w:t>
                          </w:r>
                        </w:p>
                        <w:p>
                          <w:pPr>
                            <w:pStyle w:val="Normal"/>
                            <w:spacing w:before="0" w:after="200"/>
                            <w:rPr>
                              <w:sz w:val="22"/>
                              <w:sz w:val="22"/>
                              <w:szCs w:val="22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lang w:val="en-US"/>
                            </w:rPr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width:130.7pt;height:25.05pt;mso-wrap-distance-left:9.05pt;mso-wrap-distance-right:9.05pt;margin-top:759pt;mso-position-vertical-relative:page;margin-left:405.4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rPr>
                        <w:sz w:val="22"/>
                        <w:sz w:val="22"/>
                        <w:szCs w:val="22"/>
                        <w:rFonts w:ascii="Times New Roman" w:hAnsi="Times New Roman" w:eastAsia="Times New Roman" w:cs="Times New Roman"/>
                        <w:color w:val="auto"/>
                        <w:lang w:val="ru-RU" w:bidi="ar-SA"/>
                      </w:rPr>
                    </w:pPr>
                    <w:r>
                      <w:rPr>
                        <w:rFonts w:cs="Times New Roman" w:ascii="Times New Roman" w:hAnsi="Times New Roman"/>
                      </w:rPr>
                      <w:t>Д.А. Полякова</w:t>
                    </w:r>
                  </w:p>
                  <w:p>
                    <w:pPr>
                      <w:pStyle w:val="Normal"/>
                      <w:spacing w:before="0" w:after="200"/>
                      <w:rPr>
                        <w:sz w:val="22"/>
                        <w:sz w:val="22"/>
                        <w:szCs w:val="22"/>
                        <w:rFonts w:ascii="Times New Roman" w:hAnsi="Times New Roman" w:eastAsia="Times New Roman" w:cs="Times New Roman"/>
                        <w:color w:val="auto"/>
                        <w:lang w:val="en-US" w:bidi="ar-SA"/>
                      </w:rPr>
                    </w:pPr>
                    <w:r>
                      <w:rPr>
                        <w:rFonts w:cs="Times New Roman" w:ascii="Times New Roman" w:hAnsi="Times New Roman"/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  <w:r/>
  </w:p>
  <w:p>
    <w:pPr>
      <w:pStyle w:val="Footer"/>
      <w:tabs>
        <w:tab w:val="center" w:pos="4677" w:leader="none"/>
        <w:tab w:val="right" w:pos="9355" w:leader="none"/>
      </w:tabs>
      <w:spacing w:before="0" w:after="200"/>
    </w:pPr>
    <w:r>
      <w:rPr/>
    </w:r>
    <w:r>
      <mc:AlternateContent>
        <mc:Choice Requires="wps">
          <w:drawing>
            <wp:anchor behindDoc="1" distT="0" distB="0" distL="114935" distR="114935" simplePos="0" locked="0" layoutInCell="1" allowOverlap="1" relativeHeight="8">
              <wp:simplePos x="0" y="0"/>
              <wp:positionH relativeFrom="page">
                <wp:posOffset>5148580</wp:posOffset>
              </wp:positionH>
              <wp:positionV relativeFrom="page">
                <wp:posOffset>10020300</wp:posOffset>
              </wp:positionV>
              <wp:extent cx="1659890" cy="384810"/>
              <wp:effectExtent l="0" t="0" r="0" b="0"/>
              <wp:wrapNone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9890" cy="384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uto" w:line="276" w:before="0" w:after="200"/>
                          </w:pPr>
                          <w:r>
                            <w:rPr>
                              <w:rFonts w:cs="Times New Roman" w:ascii="Times New Roman" w:hAnsi="Times New Roman"/>
                            </w:rPr>
                            <w:t xml:space="preserve">Ю.Ю. </w:t>
                          </w:r>
                          <w:r>
                            <w:rPr>
                              <w:rFonts w:cs="Times New Roman" w:ascii="Times New Roman" w:hAnsi="Times New Roman"/>
                              <w:lang w:val="en-US"/>
                            </w:rPr>
                            <w:t xml:space="preserve">Борисенко </w:t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width:130.7pt;height:30.3pt;mso-wrap-distance-left:9.05pt;mso-wrap-distance-right:9.05pt;margin-top:789pt;mso-position-vertical-relative:page;margin-left:405.4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widowControl/>
                      <w:bidi w:val="0"/>
                      <w:spacing w:lineRule="auto" w:line="276" w:before="0" w:after="200"/>
                    </w:pPr>
                    <w:r>
                      <w:rPr>
                        <w:rFonts w:cs="Times New Roman" w:ascii="Times New Roman" w:hAnsi="Times New Roman"/>
                      </w:rPr>
                      <w:t xml:space="preserve">Ю.Ю. </w:t>
                    </w:r>
                    <w:r>
                      <w:rPr>
                        <w:rFonts w:cs="Times New Roman" w:ascii="Times New Roman" w:hAnsi="Times New Roman"/>
                        <w:lang w:val="en-US"/>
                      </w:rPr>
                      <w:t xml:space="preserve">Борисенко </w:t>
                    </w:r>
                  </w:p>
                </w:txbxContent>
              </v:textbox>
            </v:rect>
          </w:pict>
        </mc:Fallback>
      </mc:AlternateContent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/>
  </w:p>
  <w:p>
    <w:pPr>
      <w:pStyle w:val="Footer"/>
    </w:pPr>
    <w:r>
      <w:rPr/>
    </w:r>
    <w:r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</w:pPr>
    <w:r>
      <w:rPr/>
      <w:fldChar w:fldCharType="begin"/>
    </w:r>
    <w:r>
      <w:instrText> PAGE </w:instrText>
    </w:r>
    <w:r>
      <w:fldChar w:fldCharType="separate"/>
    </w:r>
    <w:r>
      <w:t>21</w:t>
    </w:r>
    <w:r>
      <w:fldChar w:fldCharType="end"/>
    </w:r>
    <w:r/>
  </w:p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77" w:leader="none"/>
        <w:tab w:val="right" w:pos="9355" w:leader="none"/>
      </w:tabs>
      <w:spacing w:before="0" w:after="200"/>
    </w:pPr>
    <w:r>
      <w:rPr/>
    </w:r>
    <w:r>
      <mc:AlternateContent>
        <mc:Choice Requires="wps">
          <w:drawing>
            <wp:anchor behindDoc="1" distT="0" distB="0" distL="114935" distR="114935" simplePos="0" locked="0" layoutInCell="1" allowOverlap="1" relativeHeight="4">
              <wp:simplePos x="0" y="0"/>
              <wp:positionH relativeFrom="page">
                <wp:posOffset>5148580</wp:posOffset>
              </wp:positionH>
              <wp:positionV relativeFrom="page">
                <wp:posOffset>314325</wp:posOffset>
              </wp:positionV>
              <wp:extent cx="2098675" cy="339725"/>
              <wp:effectExtent l="0" t="0" r="0" b="0"/>
              <wp:wrapNone/>
              <wp:docPr id="2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8675" cy="3397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before="0" w:after="200"/>
                            <w:rPr>
                              <w:sz w:val="22"/>
                              <w:sz w:val="22"/>
                              <w:szCs w:val="22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lang w:val="en-US"/>
                            </w:rPr>
                            <w:t>RU С- DE.АЛ88.В.02553</w:t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width:165.25pt;height:26.75pt;mso-wrap-distance-left:9.05pt;mso-wrap-distance-right:9.05pt;margin-top:24.75pt;mso-position-vertical-relative:page;margin-left:405.4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spacing w:before="0" w:after="200"/>
                      <w:rPr>
                        <w:sz w:val="22"/>
                        <w:sz w:val="22"/>
                        <w:szCs w:val="22"/>
                        <w:rFonts w:ascii="Times New Roman" w:hAnsi="Times New Roman" w:eastAsia="Times New Roman" w:cs="Times New Roman"/>
                        <w:color w:val="auto"/>
                        <w:lang w:val="en-US" w:bidi="ar-SA"/>
                      </w:rPr>
                    </w:pPr>
                    <w:r>
                      <w:rPr>
                        <w:rFonts w:cs="Times New Roman" w:ascii="Times New Roman" w:hAnsi="Times New Roman"/>
                        <w:lang w:val="en-US"/>
                      </w:rPr>
                      <w:t>RU С- DE.АЛ88.В.02553</w:t>
                    </w:r>
                  </w:p>
                </w:txbxContent>
              </v:textbox>
            </v:rect>
          </w:pict>
        </mc:Fallback>
      </mc:AlternateContent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efault"/>
      <w:ind w:start="851" w:hanging="0"/>
      <w:jc w:val="center"/>
      <w:rPr>
        <w:sz w:val="32"/>
        <w:b/>
        <w:sz w:val="32"/>
        <w:b/>
        <w:szCs w:val="32"/>
        <w:bCs/>
        <w:rFonts w:ascii="Times New Roman" w:hAnsi="Times New Roman" w:eastAsia="Times New Roman" w:cs="Times New Roman"/>
        <w:color w:val="000000"/>
        <w:lang w:val="en-US" w:eastAsia="en-US" w:bidi="ar-SA"/>
      </w:rPr>
    </w:pPr>
    <w:r>
      <w:rPr>
        <w:b/>
        <w:bCs/>
        <w:sz w:val="32"/>
        <w:szCs w:val="32"/>
        <w:lang w:val="en-US" w:eastAsia="en-U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208915</wp:posOffset>
          </wp:positionH>
          <wp:positionV relativeFrom="paragraph">
            <wp:posOffset>104775</wp:posOffset>
          </wp:positionV>
          <wp:extent cx="866775" cy="857250"/>
          <wp:effectExtent l="0" t="0" r="0" b="0"/>
          <wp:wrapNone/>
          <wp:docPr id="1" name="Picture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57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Header"/>
      <w:ind w:start="993" w:hanging="0"/>
      <w:jc w:val="center"/>
      <w:rPr>
        <w:sz w:val="32"/>
        <w:b/>
        <w:sz w:val="32"/>
        <w:b/>
        <w:szCs w:val="32"/>
        <w:bCs/>
        <w:rFonts w:ascii="Times New Roman" w:hAnsi="Times New Roman" w:eastAsia="Times New Roman" w:cs="Times New Roman"/>
        <w:color w:val="auto"/>
        <w:lang w:val="ru-RU" w:bidi="ar-SA"/>
      </w:rPr>
    </w:pPr>
    <w:r>
      <w:rPr>
        <w:b/>
        <w:bCs/>
        <w:sz w:val="32"/>
        <w:szCs w:val="32"/>
      </w:rPr>
      <w:t>ТАМОЖЕННЫЙ СОЮЗ</w:t>
    </w:r>
    <w:r/>
  </w:p>
  <w:p>
    <w:pPr>
      <w:pStyle w:val="Header"/>
      <w:ind w:start="993" w:hanging="0"/>
      <w:jc w:val="center"/>
      <w:rPr>
        <w:sz w:val="32"/>
        <w:b/>
        <w:sz w:val="32"/>
        <w:b/>
        <w:szCs w:val="32"/>
        <w:bCs/>
        <w:rFonts w:ascii="Times New Roman" w:hAnsi="Times New Roman" w:eastAsia="Times New Roman" w:cs="Times New Roman"/>
        <w:color w:val="auto"/>
        <w:lang w:val="ru-RU" w:bidi="ar-SA"/>
      </w:rPr>
    </w:pPr>
    <w:r>
      <w:rPr>
        <w:b/>
        <w:bCs/>
        <w:sz w:val="32"/>
        <w:szCs w:val="32"/>
      </w:rPr>
      <w:t>ДЕКЛАРАЦИЯ О СООТВЕТСТВИИ</w:t>
    </w:r>
    <w:r/>
  </w:p>
  <w:p>
    <w:pPr>
      <w:pStyle w:val="Header"/>
    </w:pPr>
    <w:r>
      <w:rPr/>
    </w:r>
    <w:r/>
  </w:p>
  <w:p>
    <w:pPr>
      <w:pStyle w:val="Header"/>
    </w:pPr>
    <w:r>
      <w:rPr/>
    </w:r>
    <w:r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sz w:val="24"/>
        <w:sz w:val="24"/>
        <w:szCs w:val="24"/>
        <w:rFonts w:ascii="Times New Roman" w:hAnsi="Times New Roman" w:eastAsia="Times New Roman" w:cs="Times New Roman"/>
        <w:color w:val="auto"/>
        <w:lang w:val="en-US" w:bidi="ar-SA"/>
      </w:rPr>
    </w:pPr>
    <w:r>
      <w:rPr/>
    </w:r>
    <w:r/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sz w:val="24"/>
        <w:sz w:val="24"/>
        <w:szCs w:val="24"/>
        <w:rFonts w:ascii="Times New Roman" w:hAnsi="Times New Roman" w:eastAsia="Times New Roman" w:cs="Times New Roman"/>
        <w:color w:val="auto"/>
        <w:lang w:val="en-US" w:bidi="ar-SA"/>
      </w:rPr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ind w:start="576" w:hanging="576"/>
      </w:pPr>
      <w:rPr/>
    </w:lvl>
    <w:lvl w:ilvl="2">
      <w:start w:val="1"/>
      <w:numFmt w:val="none"/>
      <w:suff w:val="nothing"/>
      <w:lvlText w:val=""/>
      <w:lvlJc w:val="start"/>
      <w:pPr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1008" w:hanging="1008"/>
      </w:pPr>
      <w:rPr/>
    </w:lvl>
    <w:lvl w:ilvl="5">
      <w:start w:val="1"/>
      <w:numFmt w:val="none"/>
      <w:suff w:val="nothing"/>
      <w:lvlText w:val=""/>
      <w:lvlJc w:val="start"/>
      <w:pPr>
        <w:ind w:start="1152" w:hanging="1152"/>
      </w:pPr>
      <w:rPr/>
    </w:lvl>
    <w:lvl w:ilvl="6">
      <w:start w:val="1"/>
      <w:numFmt w:val="none"/>
      <w:suff w:val="nothing"/>
      <w:lvlText w:val=""/>
      <w:lvlJc w:val="start"/>
      <w:pPr>
        <w:ind w:start="1296" w:hanging="1296"/>
      </w:pPr>
      <w:rPr/>
    </w:lvl>
    <w:lvl w:ilvl="7">
      <w:start w:val="1"/>
      <w:numFmt w:val="none"/>
      <w:suff w:val="nothing"/>
      <w:lvlText w:val=""/>
      <w:lvlJc w:val="start"/>
      <w:pPr>
        <w:ind w:start="1440" w:hanging="1440"/>
      </w:pPr>
      <w:rPr/>
    </w:lvl>
    <w:lvl w:ilvl="8">
      <w:start w:val="1"/>
      <w:numFmt w:val="none"/>
      <w:suff w:val="nothing"/>
      <w:lvlText w:val=""/>
      <w:lvlJc w:val="start"/>
      <w:pPr>
        <w:ind w:star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ind w:start="576" w:hanging="576"/>
      </w:pPr>
      <w:rPr/>
    </w:lvl>
    <w:lvl w:ilvl="2">
      <w:start w:val="1"/>
      <w:numFmt w:val="none"/>
      <w:suff w:val="nothing"/>
      <w:lvlText w:val=""/>
      <w:lvlJc w:val="start"/>
      <w:pPr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1008" w:hanging="1008"/>
      </w:pPr>
      <w:rPr/>
    </w:lvl>
    <w:lvl w:ilvl="5">
      <w:start w:val="1"/>
      <w:numFmt w:val="none"/>
      <w:suff w:val="nothing"/>
      <w:lvlText w:val=""/>
      <w:lvlJc w:val="start"/>
      <w:pPr>
        <w:ind w:start="1152" w:hanging="1152"/>
      </w:pPr>
      <w:rPr/>
    </w:lvl>
    <w:lvl w:ilvl="6">
      <w:start w:val="1"/>
      <w:numFmt w:val="none"/>
      <w:suff w:val="nothing"/>
      <w:lvlText w:val=""/>
      <w:lvlJc w:val="start"/>
      <w:pPr>
        <w:ind w:start="1296" w:hanging="1296"/>
      </w:pPr>
      <w:rPr/>
    </w:lvl>
    <w:lvl w:ilvl="7">
      <w:start w:val="1"/>
      <w:numFmt w:val="none"/>
      <w:suff w:val="nothing"/>
      <w:lvlText w:val=""/>
      <w:lvlJc w:val="start"/>
      <w:pPr>
        <w:ind w:start="1440" w:hanging="1440"/>
      </w:pPr>
      <w:rPr/>
    </w:lvl>
    <w:lvl w:ilvl="8">
      <w:start w:val="1"/>
      <w:numFmt w:val="none"/>
      <w:suff w:val="nothing"/>
      <w:lvlText w:val=""/>
      <w:lvlJc w:val="start"/>
      <w:pPr>
        <w:ind w:star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Arial" w:hAnsi="Arial" w:eastAsia="Times New Roman" w:cs="Arial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rPr/>
  </w:style>
  <w:style w:type="character" w:styleId="Style15">
    <w:name w:val="Текст выноски Знак"/>
    <w:rPr>
      <w:rFonts w:ascii="Segoe UI" w:hAnsi="Segoe UI" w:cs="Segoe UI"/>
      <w:sz w:val="18"/>
      <w:szCs w:val="18"/>
    </w:rPr>
  </w:style>
  <w:style w:type="character" w:styleId="Style16">
    <w:name w:val="Верхний колонтитул Знак"/>
    <w:rPr>
      <w:rFonts w:cs="Arial"/>
      <w:sz w:val="22"/>
      <w:szCs w:val="22"/>
    </w:rPr>
  </w:style>
  <w:style w:type="character" w:styleId="Style17">
    <w:name w:val="Нижний колонтитул Знак"/>
    <w:rPr>
      <w:rFonts w:cs="Arial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8">
    <w:name w:val="Текст выноски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>
    <w:name w:val="Default"/>
    <w:pPr>
      <w:widowControl/>
      <w:suppressAutoHyphens w:val="true"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ru-RU" w:bidi="ar-SA" w:eastAsia="zh-CN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LibreOffice/4.3.7.2$Linux_X86_64 LibreOffice_project/430$Build-2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2016-08-04T09:15:00Z</dcterms:created>
  <dc:creator>Ильин Антон Александрович</dc:creator>
  <dc:language>en-US</dc:language>
  <cp:lastModifiedBy>Игорь</cp:lastModifiedBy>
  <cp:lastPrinted>2016-05-19T12:13:00Z</cp:lastPrinted>
  <dcterms:modified xsi:type="dcterms:W3CDTF">2016-08-04T09:46:00Z</dcterms:modified>
  <cp:revision>10</cp:revision>
</cp:coreProperties>
</file>