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C67B0" w14:textId="3C1CF6F2" w:rsidR="003752FD" w:rsidRPr="00C34EBE" w:rsidRDefault="003752FD" w:rsidP="003752FD">
      <w:pPr>
        <w:ind w:left="720"/>
        <w:jc w:val="center"/>
        <w:rPr>
          <w:rFonts w:ascii="Calibri" w:hAnsi="Calibri" w:cs="Calibri"/>
          <w:b/>
          <w:bCs/>
          <w:sz w:val="44"/>
          <w:szCs w:val="36"/>
          <w:u w:val="single"/>
        </w:rPr>
      </w:pPr>
      <w:r w:rsidRPr="00C34EBE">
        <w:rPr>
          <w:rFonts w:ascii="Calibri" w:hAnsi="Calibri" w:cs="Calibri"/>
          <w:b/>
          <w:bCs/>
          <w:sz w:val="44"/>
          <w:szCs w:val="36"/>
          <w:u w:val="single"/>
        </w:rPr>
        <w:t>Pre-Report</w:t>
      </w:r>
    </w:p>
    <w:p w14:paraId="3B7017B1" w14:textId="77777777" w:rsidR="00C34EBE" w:rsidRPr="00C34EBE" w:rsidRDefault="00C34EBE" w:rsidP="00C34EBE">
      <w:pPr>
        <w:ind w:left="720"/>
        <w:rPr>
          <w:rFonts w:ascii="Calibri" w:hAnsi="Calibri" w:cs="Calibri"/>
          <w:b/>
          <w:bCs/>
          <w:sz w:val="36"/>
          <w:szCs w:val="28"/>
        </w:rPr>
      </w:pPr>
      <w:r w:rsidRPr="00C34EBE">
        <w:rPr>
          <w:rFonts w:ascii="Calibri" w:hAnsi="Calibri" w:cs="Calibri"/>
          <w:b/>
          <w:bCs/>
          <w:sz w:val="36"/>
          <w:szCs w:val="28"/>
        </w:rPr>
        <w:t>1. Problem Statement</w:t>
      </w:r>
    </w:p>
    <w:p w14:paraId="5649B6DE" w14:textId="38D292A9" w:rsidR="00C34EBE" w:rsidRPr="00C34EBE" w:rsidRDefault="00C34EBE" w:rsidP="00C34EBE">
      <w:pPr>
        <w:ind w:left="720"/>
        <w:rPr>
          <w:rFonts w:ascii="Calibri" w:hAnsi="Calibri" w:cs="Calibri"/>
          <w:sz w:val="32"/>
          <w:szCs w:val="24"/>
        </w:rPr>
      </w:pPr>
      <w:r w:rsidRPr="00C34EBE">
        <w:rPr>
          <w:rFonts w:ascii="Calibri" w:hAnsi="Calibri" w:cs="Calibri"/>
          <w:sz w:val="32"/>
          <w:szCs w:val="24"/>
        </w:rPr>
        <w:t xml:space="preserve">The purpose of this analysis is to understand investor </w:t>
      </w:r>
      <w:r w:rsidRPr="00C34EBE">
        <w:rPr>
          <w:rFonts w:ascii="Calibri" w:hAnsi="Calibri" w:cs="Calibri"/>
          <w:sz w:val="32"/>
          <w:szCs w:val="24"/>
        </w:rPr>
        <w:t>behaviour</w:t>
      </w:r>
      <w:r w:rsidRPr="00C34EBE">
        <w:rPr>
          <w:rFonts w:ascii="Calibri" w:hAnsi="Calibri" w:cs="Calibri"/>
          <w:sz w:val="32"/>
          <w:szCs w:val="24"/>
        </w:rPr>
        <w:t>, preferences, and financial goals, particularly across demographics and age groups. The findings aim to identify patterns, motivations, and preferences in investment decisions, enabling the creation of an insightful Power BI dashboard for effective storytelling and actionable insights.</w:t>
      </w:r>
    </w:p>
    <w:p w14:paraId="64F94D1F"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pict w14:anchorId="21D9D3FF">
          <v:rect id="_x0000_i1108" style="width:0;height:1.5pt" o:hralign="center" o:hrstd="t" o:hr="t" fillcolor="#a0a0a0" stroked="f"/>
        </w:pict>
      </w:r>
    </w:p>
    <w:p w14:paraId="4B107C5F" w14:textId="77777777" w:rsidR="00C34EBE" w:rsidRPr="00C34EBE" w:rsidRDefault="00C34EBE" w:rsidP="00C34EBE">
      <w:pPr>
        <w:ind w:left="720"/>
        <w:rPr>
          <w:rFonts w:ascii="Calibri" w:hAnsi="Calibri" w:cs="Calibri"/>
          <w:b/>
          <w:bCs/>
          <w:sz w:val="36"/>
          <w:szCs w:val="28"/>
        </w:rPr>
      </w:pPr>
      <w:r w:rsidRPr="00C34EBE">
        <w:rPr>
          <w:rFonts w:ascii="Calibri" w:hAnsi="Calibri" w:cs="Calibri"/>
          <w:b/>
          <w:bCs/>
          <w:sz w:val="36"/>
          <w:szCs w:val="28"/>
        </w:rPr>
        <w:t>2. Data Requirement</w:t>
      </w:r>
    </w:p>
    <w:p w14:paraId="528027BF"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t>Based on the dashboard, the required data focuses on:</w:t>
      </w:r>
    </w:p>
    <w:p w14:paraId="19819F0F" w14:textId="77777777" w:rsidR="00C34EBE" w:rsidRPr="00C34EBE" w:rsidRDefault="00C34EBE" w:rsidP="00C34EBE">
      <w:pPr>
        <w:numPr>
          <w:ilvl w:val="0"/>
          <w:numId w:val="8"/>
        </w:numPr>
        <w:rPr>
          <w:rFonts w:ascii="Calibri" w:hAnsi="Calibri" w:cs="Calibri"/>
          <w:sz w:val="32"/>
          <w:szCs w:val="24"/>
        </w:rPr>
      </w:pPr>
      <w:r w:rsidRPr="00C34EBE">
        <w:rPr>
          <w:rFonts w:ascii="Calibri" w:hAnsi="Calibri" w:cs="Calibri"/>
          <w:sz w:val="32"/>
          <w:szCs w:val="24"/>
        </w:rPr>
        <w:t>Demographics: Gender and age group distribution.</w:t>
      </w:r>
    </w:p>
    <w:p w14:paraId="1CBFBFAB" w14:textId="77777777" w:rsidR="00C34EBE" w:rsidRPr="00C34EBE" w:rsidRDefault="00C34EBE" w:rsidP="00C34EBE">
      <w:pPr>
        <w:numPr>
          <w:ilvl w:val="0"/>
          <w:numId w:val="8"/>
        </w:numPr>
        <w:rPr>
          <w:rFonts w:ascii="Calibri" w:hAnsi="Calibri" w:cs="Calibri"/>
          <w:sz w:val="32"/>
          <w:szCs w:val="24"/>
        </w:rPr>
      </w:pPr>
      <w:r w:rsidRPr="00C34EBE">
        <w:rPr>
          <w:rFonts w:ascii="Calibri" w:hAnsi="Calibri" w:cs="Calibri"/>
          <w:sz w:val="32"/>
          <w:szCs w:val="24"/>
        </w:rPr>
        <w:t>Investment Preferences: Popular financial instruments such as mutual funds, equities, government bonds, and gold.</w:t>
      </w:r>
    </w:p>
    <w:p w14:paraId="0328C5F6" w14:textId="77777777" w:rsidR="00C34EBE" w:rsidRPr="00C34EBE" w:rsidRDefault="00C34EBE" w:rsidP="00C34EBE">
      <w:pPr>
        <w:numPr>
          <w:ilvl w:val="0"/>
          <w:numId w:val="8"/>
        </w:numPr>
        <w:rPr>
          <w:rFonts w:ascii="Calibri" w:hAnsi="Calibri" w:cs="Calibri"/>
          <w:sz w:val="32"/>
          <w:szCs w:val="24"/>
        </w:rPr>
      </w:pPr>
      <w:r w:rsidRPr="00C34EBE">
        <w:rPr>
          <w:rFonts w:ascii="Calibri" w:hAnsi="Calibri" w:cs="Calibri"/>
          <w:sz w:val="32"/>
          <w:szCs w:val="24"/>
        </w:rPr>
        <w:t>Savings Objectives: Specific goals like retirement planning, health care, and education.</w:t>
      </w:r>
    </w:p>
    <w:p w14:paraId="4E3F22BE" w14:textId="77777777" w:rsidR="00C34EBE" w:rsidRPr="00C34EBE" w:rsidRDefault="00C34EBE" w:rsidP="00C34EBE">
      <w:pPr>
        <w:numPr>
          <w:ilvl w:val="0"/>
          <w:numId w:val="8"/>
        </w:numPr>
        <w:rPr>
          <w:rFonts w:ascii="Calibri" w:hAnsi="Calibri" w:cs="Calibri"/>
          <w:sz w:val="32"/>
          <w:szCs w:val="24"/>
        </w:rPr>
      </w:pPr>
      <w:r w:rsidRPr="00C34EBE">
        <w:rPr>
          <w:rFonts w:ascii="Calibri" w:hAnsi="Calibri" w:cs="Calibri"/>
          <w:sz w:val="32"/>
          <w:szCs w:val="24"/>
        </w:rPr>
        <w:t>Purpose of Investment: Motivations such as wealth creation, savings for the future, and high returns.</w:t>
      </w:r>
    </w:p>
    <w:p w14:paraId="6724AB97" w14:textId="77777777" w:rsidR="00C34EBE" w:rsidRPr="00C34EBE" w:rsidRDefault="00C34EBE" w:rsidP="00C34EBE">
      <w:pPr>
        <w:numPr>
          <w:ilvl w:val="0"/>
          <w:numId w:val="8"/>
        </w:numPr>
        <w:rPr>
          <w:rFonts w:ascii="Calibri" w:hAnsi="Calibri" w:cs="Calibri"/>
          <w:sz w:val="32"/>
          <w:szCs w:val="24"/>
        </w:rPr>
      </w:pPr>
      <w:r w:rsidRPr="00C34EBE">
        <w:rPr>
          <w:rFonts w:ascii="Calibri" w:hAnsi="Calibri" w:cs="Calibri"/>
          <w:sz w:val="32"/>
          <w:szCs w:val="24"/>
        </w:rPr>
        <w:t>Stock Market Interest: Analysis of people interested in equity markets.</w:t>
      </w:r>
    </w:p>
    <w:p w14:paraId="04D7A52A"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pict w14:anchorId="3CA6935C">
          <v:rect id="_x0000_i1109" style="width:0;height:1.5pt" o:hralign="center" o:hrstd="t" o:hr="t" fillcolor="#a0a0a0" stroked="f"/>
        </w:pict>
      </w:r>
    </w:p>
    <w:p w14:paraId="5FE7DF8C" w14:textId="77777777" w:rsidR="00C34EBE" w:rsidRPr="00C34EBE" w:rsidRDefault="00C34EBE" w:rsidP="00C34EBE">
      <w:pPr>
        <w:ind w:left="720"/>
        <w:rPr>
          <w:rFonts w:ascii="Calibri" w:hAnsi="Calibri" w:cs="Calibri"/>
          <w:b/>
          <w:bCs/>
          <w:sz w:val="36"/>
          <w:szCs w:val="28"/>
        </w:rPr>
      </w:pPr>
      <w:r w:rsidRPr="00C34EBE">
        <w:rPr>
          <w:rFonts w:ascii="Calibri" w:hAnsi="Calibri" w:cs="Calibri"/>
          <w:b/>
          <w:bCs/>
          <w:sz w:val="36"/>
          <w:szCs w:val="28"/>
        </w:rPr>
        <w:t>3. Data Collection</w:t>
      </w:r>
    </w:p>
    <w:p w14:paraId="5D77ECE7"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t>The dataset for the analysis includes:</w:t>
      </w:r>
    </w:p>
    <w:p w14:paraId="5CC83B19" w14:textId="77777777" w:rsidR="00C34EBE" w:rsidRPr="00C34EBE" w:rsidRDefault="00C34EBE" w:rsidP="00C34EBE">
      <w:pPr>
        <w:numPr>
          <w:ilvl w:val="0"/>
          <w:numId w:val="9"/>
        </w:numPr>
        <w:rPr>
          <w:rFonts w:ascii="Calibri" w:hAnsi="Calibri" w:cs="Calibri"/>
          <w:sz w:val="32"/>
          <w:szCs w:val="24"/>
        </w:rPr>
      </w:pPr>
      <w:r w:rsidRPr="00C34EBE">
        <w:rPr>
          <w:rFonts w:ascii="Calibri" w:hAnsi="Calibri" w:cs="Calibri"/>
          <w:sz w:val="32"/>
          <w:szCs w:val="24"/>
        </w:rPr>
        <w:t>Demographic Attributes: Gender and age brackets.</w:t>
      </w:r>
    </w:p>
    <w:p w14:paraId="08901E7A" w14:textId="77777777" w:rsidR="00C34EBE" w:rsidRPr="00C34EBE" w:rsidRDefault="00C34EBE" w:rsidP="00C34EBE">
      <w:pPr>
        <w:numPr>
          <w:ilvl w:val="0"/>
          <w:numId w:val="9"/>
        </w:numPr>
        <w:rPr>
          <w:rFonts w:ascii="Calibri" w:hAnsi="Calibri" w:cs="Calibri"/>
          <w:sz w:val="32"/>
          <w:szCs w:val="24"/>
        </w:rPr>
      </w:pPr>
      <w:r w:rsidRPr="00C34EBE">
        <w:rPr>
          <w:rFonts w:ascii="Calibri" w:hAnsi="Calibri" w:cs="Calibri"/>
          <w:sz w:val="32"/>
          <w:szCs w:val="24"/>
        </w:rPr>
        <w:t>Investment Avenues: Preferences for different financial instruments (debentures, equity markets, mutual funds, etc.).</w:t>
      </w:r>
    </w:p>
    <w:p w14:paraId="1BEDF37B" w14:textId="77777777" w:rsidR="00C34EBE" w:rsidRPr="00C34EBE" w:rsidRDefault="00C34EBE" w:rsidP="00C34EBE">
      <w:pPr>
        <w:numPr>
          <w:ilvl w:val="0"/>
          <w:numId w:val="9"/>
        </w:numPr>
        <w:rPr>
          <w:rFonts w:ascii="Calibri" w:hAnsi="Calibri" w:cs="Calibri"/>
          <w:sz w:val="32"/>
          <w:szCs w:val="24"/>
        </w:rPr>
      </w:pPr>
      <w:r w:rsidRPr="00C34EBE">
        <w:rPr>
          <w:rFonts w:ascii="Calibri" w:hAnsi="Calibri" w:cs="Calibri"/>
          <w:sz w:val="32"/>
          <w:szCs w:val="24"/>
        </w:rPr>
        <w:t>Savings Objectives: Retirement plans, health care, and education.</w:t>
      </w:r>
    </w:p>
    <w:p w14:paraId="12A28243" w14:textId="77777777" w:rsidR="00C34EBE" w:rsidRPr="00C34EBE" w:rsidRDefault="00C34EBE" w:rsidP="00C34EBE">
      <w:pPr>
        <w:numPr>
          <w:ilvl w:val="0"/>
          <w:numId w:val="9"/>
        </w:numPr>
        <w:rPr>
          <w:rFonts w:ascii="Calibri" w:hAnsi="Calibri" w:cs="Calibri"/>
          <w:sz w:val="32"/>
          <w:szCs w:val="24"/>
        </w:rPr>
      </w:pPr>
      <w:r w:rsidRPr="00C34EBE">
        <w:rPr>
          <w:rFonts w:ascii="Calibri" w:hAnsi="Calibri" w:cs="Calibri"/>
          <w:sz w:val="32"/>
          <w:szCs w:val="24"/>
        </w:rPr>
        <w:t>Motivating Factors: Key drivers for investment like wealth creation or return expectations.</w:t>
      </w:r>
    </w:p>
    <w:p w14:paraId="7F6C103D" w14:textId="77777777" w:rsidR="00C34EBE" w:rsidRPr="00C34EBE" w:rsidRDefault="00C34EBE" w:rsidP="00C34EBE">
      <w:pPr>
        <w:numPr>
          <w:ilvl w:val="0"/>
          <w:numId w:val="9"/>
        </w:numPr>
        <w:rPr>
          <w:rFonts w:ascii="Calibri" w:hAnsi="Calibri" w:cs="Calibri"/>
          <w:sz w:val="32"/>
          <w:szCs w:val="24"/>
        </w:rPr>
      </w:pPr>
      <w:r w:rsidRPr="00C34EBE">
        <w:rPr>
          <w:rFonts w:ascii="Calibri" w:hAnsi="Calibri" w:cs="Calibri"/>
          <w:sz w:val="32"/>
          <w:szCs w:val="24"/>
        </w:rPr>
        <w:lastRenderedPageBreak/>
        <w:t>Stock Market Engagement: Number of individuals interested in investing in stocks.</w:t>
      </w:r>
    </w:p>
    <w:p w14:paraId="6FB7F46F"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pict w14:anchorId="5D701353">
          <v:rect id="_x0000_i1110" style="width:0;height:1.5pt" o:hralign="center" o:hrstd="t" o:hr="t" fillcolor="#a0a0a0" stroked="f"/>
        </w:pict>
      </w:r>
    </w:p>
    <w:p w14:paraId="7F294553" w14:textId="77777777" w:rsidR="00C34EBE" w:rsidRPr="00C34EBE" w:rsidRDefault="00C34EBE" w:rsidP="00C34EBE">
      <w:pPr>
        <w:ind w:left="720"/>
        <w:rPr>
          <w:rFonts w:ascii="Calibri" w:hAnsi="Calibri" w:cs="Calibri"/>
          <w:b/>
          <w:bCs/>
          <w:sz w:val="36"/>
          <w:szCs w:val="28"/>
        </w:rPr>
      </w:pPr>
      <w:r w:rsidRPr="00C34EBE">
        <w:rPr>
          <w:rFonts w:ascii="Calibri" w:hAnsi="Calibri" w:cs="Calibri"/>
          <w:b/>
          <w:bCs/>
          <w:sz w:val="36"/>
          <w:szCs w:val="28"/>
        </w:rPr>
        <w:t>4. Data Validation</w:t>
      </w:r>
    </w:p>
    <w:p w14:paraId="6D557CDB"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t>To ensure accuracy and reliability:</w:t>
      </w:r>
    </w:p>
    <w:p w14:paraId="03A3D992" w14:textId="77777777" w:rsidR="00C34EBE" w:rsidRPr="00C34EBE" w:rsidRDefault="00C34EBE" w:rsidP="00C34EBE">
      <w:pPr>
        <w:numPr>
          <w:ilvl w:val="0"/>
          <w:numId w:val="10"/>
        </w:numPr>
        <w:rPr>
          <w:rFonts w:ascii="Calibri" w:hAnsi="Calibri" w:cs="Calibri"/>
          <w:sz w:val="32"/>
          <w:szCs w:val="24"/>
        </w:rPr>
      </w:pPr>
      <w:r w:rsidRPr="00C34EBE">
        <w:rPr>
          <w:rFonts w:ascii="Calibri" w:hAnsi="Calibri" w:cs="Calibri"/>
          <w:sz w:val="32"/>
          <w:szCs w:val="24"/>
        </w:rPr>
        <w:t>Validate data formats (e.g., integers for age, categorical variables for gender and investment types).</w:t>
      </w:r>
    </w:p>
    <w:p w14:paraId="3FDE5AD4" w14:textId="77777777" w:rsidR="00C34EBE" w:rsidRPr="00C34EBE" w:rsidRDefault="00C34EBE" w:rsidP="00C34EBE">
      <w:pPr>
        <w:numPr>
          <w:ilvl w:val="0"/>
          <w:numId w:val="10"/>
        </w:numPr>
        <w:rPr>
          <w:rFonts w:ascii="Calibri" w:hAnsi="Calibri" w:cs="Calibri"/>
          <w:sz w:val="32"/>
          <w:szCs w:val="24"/>
        </w:rPr>
      </w:pPr>
      <w:r w:rsidRPr="00C34EBE">
        <w:rPr>
          <w:rFonts w:ascii="Calibri" w:hAnsi="Calibri" w:cs="Calibri"/>
          <w:sz w:val="32"/>
          <w:szCs w:val="24"/>
        </w:rPr>
        <w:t>Handle missing values or inconsistencies.</w:t>
      </w:r>
    </w:p>
    <w:p w14:paraId="504F57F9" w14:textId="77777777" w:rsidR="00C34EBE" w:rsidRPr="00C34EBE" w:rsidRDefault="00C34EBE" w:rsidP="00C34EBE">
      <w:pPr>
        <w:numPr>
          <w:ilvl w:val="0"/>
          <w:numId w:val="10"/>
        </w:numPr>
        <w:rPr>
          <w:rFonts w:ascii="Calibri" w:hAnsi="Calibri" w:cs="Calibri"/>
          <w:sz w:val="32"/>
          <w:szCs w:val="24"/>
        </w:rPr>
      </w:pPr>
      <w:r w:rsidRPr="00C34EBE">
        <w:rPr>
          <w:rFonts w:ascii="Calibri" w:hAnsi="Calibri" w:cs="Calibri"/>
          <w:sz w:val="32"/>
          <w:szCs w:val="24"/>
        </w:rPr>
        <w:t>Cross-check logical relationships (e.g., respondents who have no interest in investment avenues should align with no active investments).</w:t>
      </w:r>
    </w:p>
    <w:p w14:paraId="0EEEC6F3"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pict w14:anchorId="2FA24E5D">
          <v:rect id="_x0000_i1111" style="width:0;height:1.5pt" o:hralign="center" o:hrstd="t" o:hr="t" fillcolor="#a0a0a0" stroked="f"/>
        </w:pict>
      </w:r>
    </w:p>
    <w:p w14:paraId="7953036F" w14:textId="77777777" w:rsidR="00C34EBE" w:rsidRPr="00C34EBE" w:rsidRDefault="00C34EBE" w:rsidP="00C34EBE">
      <w:pPr>
        <w:ind w:left="720"/>
        <w:rPr>
          <w:rFonts w:ascii="Calibri" w:hAnsi="Calibri" w:cs="Calibri"/>
          <w:b/>
          <w:bCs/>
          <w:sz w:val="36"/>
          <w:szCs w:val="28"/>
        </w:rPr>
      </w:pPr>
      <w:r w:rsidRPr="00C34EBE">
        <w:rPr>
          <w:rFonts w:ascii="Calibri" w:hAnsi="Calibri" w:cs="Calibri"/>
          <w:b/>
          <w:bCs/>
          <w:sz w:val="36"/>
          <w:szCs w:val="28"/>
        </w:rPr>
        <w:t>5. Data Cleaning</w:t>
      </w:r>
    </w:p>
    <w:p w14:paraId="00B7AB25"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t>Key steps for data preparation:</w:t>
      </w:r>
    </w:p>
    <w:p w14:paraId="212D5A9F" w14:textId="77777777" w:rsidR="00C34EBE" w:rsidRPr="00C34EBE" w:rsidRDefault="00C34EBE" w:rsidP="00C34EBE">
      <w:pPr>
        <w:numPr>
          <w:ilvl w:val="0"/>
          <w:numId w:val="11"/>
        </w:numPr>
        <w:rPr>
          <w:rFonts w:ascii="Calibri" w:hAnsi="Calibri" w:cs="Calibri"/>
          <w:sz w:val="32"/>
          <w:szCs w:val="24"/>
        </w:rPr>
      </w:pPr>
      <w:r w:rsidRPr="00C34EBE">
        <w:rPr>
          <w:rFonts w:ascii="Calibri" w:hAnsi="Calibri" w:cs="Calibri"/>
          <w:sz w:val="32"/>
          <w:szCs w:val="24"/>
        </w:rPr>
        <w:t>Standardize demographic data for consistency (e.g., uniform gender labels).</w:t>
      </w:r>
    </w:p>
    <w:p w14:paraId="63FA57BC" w14:textId="77777777" w:rsidR="00C34EBE" w:rsidRPr="00C34EBE" w:rsidRDefault="00C34EBE" w:rsidP="00C34EBE">
      <w:pPr>
        <w:numPr>
          <w:ilvl w:val="0"/>
          <w:numId w:val="11"/>
        </w:numPr>
        <w:rPr>
          <w:rFonts w:ascii="Calibri" w:hAnsi="Calibri" w:cs="Calibri"/>
          <w:sz w:val="32"/>
          <w:szCs w:val="24"/>
        </w:rPr>
      </w:pPr>
      <w:r w:rsidRPr="00C34EBE">
        <w:rPr>
          <w:rFonts w:ascii="Calibri" w:hAnsi="Calibri" w:cs="Calibri"/>
          <w:sz w:val="32"/>
          <w:szCs w:val="24"/>
        </w:rPr>
        <w:t>Rename columns for better readability (e.g., “Sum of Gold” becomes “Gold Investment”).</w:t>
      </w:r>
    </w:p>
    <w:p w14:paraId="1604A1B3" w14:textId="77777777" w:rsidR="00C34EBE" w:rsidRPr="00C34EBE" w:rsidRDefault="00C34EBE" w:rsidP="00C34EBE">
      <w:pPr>
        <w:numPr>
          <w:ilvl w:val="0"/>
          <w:numId w:val="11"/>
        </w:numPr>
        <w:rPr>
          <w:rFonts w:ascii="Calibri" w:hAnsi="Calibri" w:cs="Calibri"/>
          <w:sz w:val="32"/>
          <w:szCs w:val="24"/>
        </w:rPr>
      </w:pPr>
      <w:r w:rsidRPr="00C34EBE">
        <w:rPr>
          <w:rFonts w:ascii="Calibri" w:hAnsi="Calibri" w:cs="Calibri"/>
          <w:sz w:val="32"/>
          <w:szCs w:val="24"/>
        </w:rPr>
        <w:t>Remove duplicate entries and ensure logical consistency in responses.</w:t>
      </w:r>
    </w:p>
    <w:p w14:paraId="4ABC1C74" w14:textId="77777777" w:rsidR="00C34EBE" w:rsidRPr="00C34EBE" w:rsidRDefault="00C34EBE" w:rsidP="00C34EBE">
      <w:pPr>
        <w:numPr>
          <w:ilvl w:val="0"/>
          <w:numId w:val="11"/>
        </w:numPr>
        <w:rPr>
          <w:rFonts w:ascii="Calibri" w:hAnsi="Calibri" w:cs="Calibri"/>
          <w:sz w:val="32"/>
          <w:szCs w:val="24"/>
        </w:rPr>
      </w:pPr>
      <w:r w:rsidRPr="00C34EBE">
        <w:rPr>
          <w:rFonts w:ascii="Calibri" w:hAnsi="Calibri" w:cs="Calibri"/>
          <w:sz w:val="32"/>
          <w:szCs w:val="24"/>
        </w:rPr>
        <w:t>Handle outliers (e.g., extremely high investments not consistent with demographic patterns).</w:t>
      </w:r>
    </w:p>
    <w:p w14:paraId="2D9C7279"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pict w14:anchorId="00A51F41">
          <v:rect id="_x0000_i1112" style="width:0;height:1.5pt" o:hralign="center" o:hrstd="t" o:hr="t" fillcolor="#a0a0a0" stroked="f"/>
        </w:pict>
      </w:r>
    </w:p>
    <w:p w14:paraId="65E047BF" w14:textId="77777777" w:rsidR="00C34EBE" w:rsidRPr="00C34EBE" w:rsidRDefault="00C34EBE" w:rsidP="00C34EBE">
      <w:pPr>
        <w:ind w:left="720"/>
        <w:rPr>
          <w:rFonts w:ascii="Calibri" w:hAnsi="Calibri" w:cs="Calibri"/>
          <w:b/>
          <w:bCs/>
          <w:sz w:val="36"/>
          <w:szCs w:val="28"/>
        </w:rPr>
      </w:pPr>
      <w:r w:rsidRPr="00C34EBE">
        <w:rPr>
          <w:rFonts w:ascii="Calibri" w:hAnsi="Calibri" w:cs="Calibri"/>
          <w:b/>
          <w:bCs/>
          <w:sz w:val="36"/>
          <w:szCs w:val="28"/>
        </w:rPr>
        <w:t>6. Tools</w:t>
      </w:r>
    </w:p>
    <w:p w14:paraId="682D68A4"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t>Power BI is used for this analysis due to:</w:t>
      </w:r>
    </w:p>
    <w:p w14:paraId="311437E4" w14:textId="77777777" w:rsidR="00C34EBE" w:rsidRPr="00C34EBE" w:rsidRDefault="00C34EBE" w:rsidP="00C34EBE">
      <w:pPr>
        <w:numPr>
          <w:ilvl w:val="0"/>
          <w:numId w:val="12"/>
        </w:numPr>
        <w:rPr>
          <w:rFonts w:ascii="Calibri" w:hAnsi="Calibri" w:cs="Calibri"/>
          <w:sz w:val="32"/>
          <w:szCs w:val="24"/>
        </w:rPr>
      </w:pPr>
      <w:r w:rsidRPr="00C34EBE">
        <w:rPr>
          <w:rFonts w:ascii="Calibri" w:hAnsi="Calibri" w:cs="Calibri"/>
          <w:sz w:val="32"/>
          <w:szCs w:val="24"/>
        </w:rPr>
        <w:t>Its user-friendly interface for designing interactive dashboards.</w:t>
      </w:r>
    </w:p>
    <w:p w14:paraId="6FB0F746" w14:textId="77777777" w:rsidR="00C34EBE" w:rsidRPr="00C34EBE" w:rsidRDefault="00C34EBE" w:rsidP="00C34EBE">
      <w:pPr>
        <w:numPr>
          <w:ilvl w:val="0"/>
          <w:numId w:val="12"/>
        </w:numPr>
        <w:rPr>
          <w:rFonts w:ascii="Calibri" w:hAnsi="Calibri" w:cs="Calibri"/>
          <w:sz w:val="32"/>
          <w:szCs w:val="24"/>
        </w:rPr>
      </w:pPr>
      <w:r w:rsidRPr="00C34EBE">
        <w:rPr>
          <w:rFonts w:ascii="Calibri" w:hAnsi="Calibri" w:cs="Calibri"/>
          <w:sz w:val="32"/>
          <w:szCs w:val="24"/>
        </w:rPr>
        <w:t>A wide variety of visuals, including pie charts, bar charts, and stacked graphs.</w:t>
      </w:r>
    </w:p>
    <w:p w14:paraId="730B2346" w14:textId="77777777" w:rsidR="00C34EBE" w:rsidRPr="00C34EBE" w:rsidRDefault="00C34EBE" w:rsidP="00C34EBE">
      <w:pPr>
        <w:numPr>
          <w:ilvl w:val="0"/>
          <w:numId w:val="12"/>
        </w:numPr>
        <w:rPr>
          <w:rFonts w:ascii="Calibri" w:hAnsi="Calibri" w:cs="Calibri"/>
          <w:sz w:val="32"/>
          <w:szCs w:val="24"/>
        </w:rPr>
      </w:pPr>
      <w:r w:rsidRPr="00C34EBE">
        <w:rPr>
          <w:rFonts w:ascii="Calibri" w:hAnsi="Calibri" w:cs="Calibri"/>
          <w:sz w:val="32"/>
          <w:szCs w:val="24"/>
        </w:rPr>
        <w:t>The ability to highlight relationships and trends across datasets.</w:t>
      </w:r>
    </w:p>
    <w:p w14:paraId="0D553589" w14:textId="660AF31C" w:rsidR="00C34EBE" w:rsidRPr="00C34EBE" w:rsidRDefault="00C34EBE" w:rsidP="00C34EBE">
      <w:pPr>
        <w:ind w:left="720"/>
        <w:rPr>
          <w:rFonts w:ascii="Calibri" w:hAnsi="Calibri" w:cs="Calibri"/>
          <w:sz w:val="32"/>
          <w:szCs w:val="24"/>
        </w:rPr>
      </w:pPr>
    </w:p>
    <w:p w14:paraId="18F37B0D" w14:textId="4D4D7460" w:rsidR="00C34EBE" w:rsidRPr="00C34EBE" w:rsidRDefault="00055752" w:rsidP="00C34EBE">
      <w:pPr>
        <w:ind w:left="720"/>
        <w:rPr>
          <w:rFonts w:ascii="Calibri" w:hAnsi="Calibri" w:cs="Calibri"/>
          <w:b/>
          <w:bCs/>
          <w:sz w:val="36"/>
          <w:szCs w:val="28"/>
        </w:rPr>
      </w:pPr>
      <w:r w:rsidRPr="00055752">
        <w:rPr>
          <w:rFonts w:ascii="Calibri" w:hAnsi="Calibri" w:cs="Calibri"/>
          <w:sz w:val="32"/>
          <w:szCs w:val="24"/>
        </w:rPr>
        <w:drawing>
          <wp:anchor distT="0" distB="0" distL="114300" distR="114300" simplePos="0" relativeHeight="251658240" behindDoc="0" locked="0" layoutInCell="1" allowOverlap="1" wp14:anchorId="376C0EBD" wp14:editId="48072318">
            <wp:simplePos x="0" y="0"/>
            <wp:positionH relativeFrom="column">
              <wp:posOffset>-205740</wp:posOffset>
            </wp:positionH>
            <wp:positionV relativeFrom="paragraph">
              <wp:posOffset>426720</wp:posOffset>
            </wp:positionV>
            <wp:extent cx="7025640" cy="3722370"/>
            <wp:effectExtent l="0" t="0" r="3810" b="0"/>
            <wp:wrapTopAndBottom/>
            <wp:docPr id="3164368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36821"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025640" cy="3722370"/>
                    </a:xfrm>
                    <a:prstGeom prst="rect">
                      <a:avLst/>
                    </a:prstGeom>
                  </pic:spPr>
                </pic:pic>
              </a:graphicData>
            </a:graphic>
            <wp14:sizeRelH relativeFrom="margin">
              <wp14:pctWidth>0</wp14:pctWidth>
            </wp14:sizeRelH>
          </wp:anchor>
        </w:drawing>
      </w:r>
      <w:r w:rsidR="00C34EBE" w:rsidRPr="00C34EBE">
        <w:rPr>
          <w:rFonts w:ascii="Calibri" w:hAnsi="Calibri" w:cs="Calibri"/>
          <w:b/>
          <w:bCs/>
          <w:sz w:val="36"/>
          <w:szCs w:val="28"/>
        </w:rPr>
        <w:t>7.</w:t>
      </w:r>
      <w:r w:rsidR="00CC7C5A" w:rsidRPr="00C654D1">
        <w:rPr>
          <w:rFonts w:ascii="Calibri" w:hAnsi="Calibri" w:cs="Calibri"/>
          <w:b/>
          <w:bCs/>
          <w:sz w:val="36"/>
          <w:szCs w:val="28"/>
        </w:rPr>
        <w:t xml:space="preserve"> </w:t>
      </w:r>
      <w:r w:rsidR="00C34EBE" w:rsidRPr="00C34EBE">
        <w:rPr>
          <w:rFonts w:ascii="Calibri" w:hAnsi="Calibri" w:cs="Calibri"/>
          <w:b/>
          <w:bCs/>
          <w:sz w:val="36"/>
          <w:szCs w:val="28"/>
        </w:rPr>
        <w:t xml:space="preserve">Dashboard </w:t>
      </w:r>
      <w:r w:rsidR="00CC7C5A" w:rsidRPr="00C654D1">
        <w:rPr>
          <w:rFonts w:ascii="Calibri" w:hAnsi="Calibri" w:cs="Calibri"/>
          <w:b/>
          <w:bCs/>
          <w:sz w:val="36"/>
          <w:szCs w:val="28"/>
        </w:rPr>
        <w:t>Example</w:t>
      </w:r>
    </w:p>
    <w:p w14:paraId="2A62779E" w14:textId="67D76513" w:rsidR="00162E47" w:rsidRDefault="00162E47" w:rsidP="00C34EBE">
      <w:pPr>
        <w:ind w:left="720"/>
        <w:rPr>
          <w:rFonts w:ascii="Calibri" w:hAnsi="Calibri" w:cs="Calibri"/>
          <w:sz w:val="32"/>
          <w:szCs w:val="24"/>
        </w:rPr>
      </w:pPr>
    </w:p>
    <w:p w14:paraId="4FC450A1" w14:textId="14B2CCAB" w:rsidR="00C34EBE" w:rsidRPr="00C34EBE" w:rsidRDefault="00C34EBE" w:rsidP="00C34EBE">
      <w:pPr>
        <w:ind w:left="720"/>
        <w:rPr>
          <w:rFonts w:ascii="Calibri" w:hAnsi="Calibri" w:cs="Calibri"/>
          <w:sz w:val="32"/>
          <w:szCs w:val="24"/>
        </w:rPr>
      </w:pPr>
      <w:r w:rsidRPr="00C34EBE">
        <w:rPr>
          <w:rFonts w:ascii="Calibri" w:hAnsi="Calibri" w:cs="Calibri"/>
          <w:sz w:val="32"/>
          <w:szCs w:val="24"/>
        </w:rPr>
        <w:t>The Power BI dashboard reflects several key insights:</w:t>
      </w:r>
    </w:p>
    <w:p w14:paraId="3955FF17"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t>Demographics Breakdown</w:t>
      </w:r>
    </w:p>
    <w:p w14:paraId="3327DD96" w14:textId="77777777" w:rsidR="00C34EBE" w:rsidRPr="00C34EBE" w:rsidRDefault="00C34EBE" w:rsidP="00C34EBE">
      <w:pPr>
        <w:numPr>
          <w:ilvl w:val="0"/>
          <w:numId w:val="13"/>
        </w:numPr>
        <w:rPr>
          <w:rFonts w:ascii="Calibri" w:hAnsi="Calibri" w:cs="Calibri"/>
          <w:sz w:val="32"/>
          <w:szCs w:val="24"/>
        </w:rPr>
      </w:pPr>
      <w:r w:rsidRPr="00C34EBE">
        <w:rPr>
          <w:rFonts w:ascii="Calibri" w:hAnsi="Calibri" w:cs="Calibri"/>
          <w:sz w:val="32"/>
          <w:szCs w:val="24"/>
        </w:rPr>
        <w:t>Gender Distribution:</w:t>
      </w:r>
    </w:p>
    <w:p w14:paraId="1B6CA13B" w14:textId="77777777" w:rsidR="00C34EBE" w:rsidRPr="00C34EBE" w:rsidRDefault="00C34EBE" w:rsidP="00C34EBE">
      <w:pPr>
        <w:numPr>
          <w:ilvl w:val="1"/>
          <w:numId w:val="13"/>
        </w:numPr>
        <w:rPr>
          <w:rFonts w:ascii="Calibri" w:hAnsi="Calibri" w:cs="Calibri"/>
          <w:sz w:val="32"/>
          <w:szCs w:val="24"/>
        </w:rPr>
      </w:pPr>
      <w:r w:rsidRPr="00C34EBE">
        <w:rPr>
          <w:rFonts w:ascii="Calibri" w:hAnsi="Calibri" w:cs="Calibri"/>
          <w:sz w:val="32"/>
          <w:szCs w:val="24"/>
        </w:rPr>
        <w:t>Displayed using a pie chart: 62.5% Female and 37.5% Male.</w:t>
      </w:r>
    </w:p>
    <w:p w14:paraId="317210D4" w14:textId="77777777" w:rsidR="00C34EBE" w:rsidRPr="00C34EBE" w:rsidRDefault="00C34EBE" w:rsidP="00C34EBE">
      <w:pPr>
        <w:numPr>
          <w:ilvl w:val="1"/>
          <w:numId w:val="13"/>
        </w:numPr>
        <w:rPr>
          <w:rFonts w:ascii="Calibri" w:hAnsi="Calibri" w:cs="Calibri"/>
          <w:sz w:val="32"/>
          <w:szCs w:val="24"/>
        </w:rPr>
      </w:pPr>
      <w:r w:rsidRPr="00C34EBE">
        <w:rPr>
          <w:rFonts w:ascii="Calibri" w:hAnsi="Calibri" w:cs="Calibri"/>
          <w:sz w:val="32"/>
          <w:szCs w:val="24"/>
        </w:rPr>
        <w:t>A gender-based stacked column further emphasizes the breakdown.</w:t>
      </w:r>
    </w:p>
    <w:p w14:paraId="7FFC57EC" w14:textId="77777777" w:rsidR="00C34EBE" w:rsidRPr="00C34EBE" w:rsidRDefault="00C34EBE" w:rsidP="00C34EBE">
      <w:pPr>
        <w:numPr>
          <w:ilvl w:val="0"/>
          <w:numId w:val="13"/>
        </w:numPr>
        <w:rPr>
          <w:rFonts w:ascii="Calibri" w:hAnsi="Calibri" w:cs="Calibri"/>
          <w:sz w:val="32"/>
          <w:szCs w:val="24"/>
        </w:rPr>
      </w:pPr>
      <w:r w:rsidRPr="00C34EBE">
        <w:rPr>
          <w:rFonts w:ascii="Calibri" w:hAnsi="Calibri" w:cs="Calibri"/>
          <w:sz w:val="32"/>
          <w:szCs w:val="24"/>
        </w:rPr>
        <w:t>Age Group Distribution:</w:t>
      </w:r>
    </w:p>
    <w:p w14:paraId="0EC600CF" w14:textId="77777777" w:rsidR="00C34EBE" w:rsidRPr="00C34EBE" w:rsidRDefault="00C34EBE" w:rsidP="00C34EBE">
      <w:pPr>
        <w:numPr>
          <w:ilvl w:val="1"/>
          <w:numId w:val="13"/>
        </w:numPr>
        <w:rPr>
          <w:rFonts w:ascii="Calibri" w:hAnsi="Calibri" w:cs="Calibri"/>
          <w:sz w:val="32"/>
          <w:szCs w:val="24"/>
        </w:rPr>
      </w:pPr>
      <w:r w:rsidRPr="00C34EBE">
        <w:rPr>
          <w:rFonts w:ascii="Calibri" w:hAnsi="Calibri" w:cs="Calibri"/>
          <w:sz w:val="32"/>
          <w:szCs w:val="24"/>
        </w:rPr>
        <w:t>Highlighted through stacked visuals: Majority of contributors fall in the 25-30 age bracket.</w:t>
      </w:r>
    </w:p>
    <w:p w14:paraId="5D19B347"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t>Investment Preferences</w:t>
      </w:r>
    </w:p>
    <w:p w14:paraId="3DFF9FD5" w14:textId="77777777" w:rsidR="00C34EBE" w:rsidRPr="00C34EBE" w:rsidRDefault="00C34EBE" w:rsidP="00C34EBE">
      <w:pPr>
        <w:numPr>
          <w:ilvl w:val="0"/>
          <w:numId w:val="14"/>
        </w:numPr>
        <w:rPr>
          <w:rFonts w:ascii="Calibri" w:hAnsi="Calibri" w:cs="Calibri"/>
          <w:sz w:val="32"/>
          <w:szCs w:val="24"/>
        </w:rPr>
      </w:pPr>
      <w:r w:rsidRPr="00C34EBE">
        <w:rPr>
          <w:rFonts w:ascii="Calibri" w:hAnsi="Calibri" w:cs="Calibri"/>
          <w:sz w:val="32"/>
          <w:szCs w:val="24"/>
        </w:rPr>
        <w:t>Avenues by Age:</w:t>
      </w:r>
    </w:p>
    <w:p w14:paraId="12A37D95" w14:textId="77777777" w:rsidR="00C34EBE" w:rsidRPr="00C34EBE" w:rsidRDefault="00C34EBE" w:rsidP="00C34EBE">
      <w:pPr>
        <w:numPr>
          <w:ilvl w:val="1"/>
          <w:numId w:val="14"/>
        </w:numPr>
        <w:rPr>
          <w:rFonts w:ascii="Calibri" w:hAnsi="Calibri" w:cs="Calibri"/>
          <w:sz w:val="32"/>
          <w:szCs w:val="24"/>
        </w:rPr>
      </w:pPr>
      <w:r w:rsidRPr="00C34EBE">
        <w:rPr>
          <w:rFonts w:ascii="Calibri" w:hAnsi="Calibri" w:cs="Calibri"/>
          <w:sz w:val="32"/>
          <w:szCs w:val="24"/>
        </w:rPr>
        <w:t>Bar charts reveal age-wise preferences for investment instruments such as equity markets, gold, government bonds, and mutual funds.</w:t>
      </w:r>
    </w:p>
    <w:p w14:paraId="25157062" w14:textId="77777777" w:rsidR="00C34EBE" w:rsidRPr="00C34EBE" w:rsidRDefault="00C34EBE" w:rsidP="00C34EBE">
      <w:pPr>
        <w:numPr>
          <w:ilvl w:val="1"/>
          <w:numId w:val="14"/>
        </w:numPr>
        <w:rPr>
          <w:rFonts w:ascii="Calibri" w:hAnsi="Calibri" w:cs="Calibri"/>
          <w:sz w:val="32"/>
          <w:szCs w:val="24"/>
        </w:rPr>
      </w:pPr>
      <w:r w:rsidRPr="00C34EBE">
        <w:rPr>
          <w:rFonts w:ascii="Calibri" w:hAnsi="Calibri" w:cs="Calibri"/>
          <w:sz w:val="32"/>
          <w:szCs w:val="24"/>
        </w:rPr>
        <w:lastRenderedPageBreak/>
        <w:t>The 25–30 age group shows the highest engagement across multiple avenues, followed by 30–35.</w:t>
      </w:r>
    </w:p>
    <w:p w14:paraId="42851C5E"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t>Purpose of Investment</w:t>
      </w:r>
    </w:p>
    <w:p w14:paraId="079E27E8" w14:textId="77777777" w:rsidR="00C34EBE" w:rsidRPr="00C34EBE" w:rsidRDefault="00C34EBE" w:rsidP="00C34EBE">
      <w:pPr>
        <w:numPr>
          <w:ilvl w:val="0"/>
          <w:numId w:val="15"/>
        </w:numPr>
        <w:rPr>
          <w:rFonts w:ascii="Calibri" w:hAnsi="Calibri" w:cs="Calibri"/>
          <w:sz w:val="32"/>
          <w:szCs w:val="24"/>
        </w:rPr>
      </w:pPr>
      <w:r w:rsidRPr="00C34EBE">
        <w:rPr>
          <w:rFonts w:ascii="Calibri" w:hAnsi="Calibri" w:cs="Calibri"/>
          <w:sz w:val="32"/>
          <w:szCs w:val="24"/>
        </w:rPr>
        <w:t>A horizontal bar chart categorizes respondents’ purposes:</w:t>
      </w:r>
    </w:p>
    <w:p w14:paraId="596D9605" w14:textId="77777777" w:rsidR="00C34EBE" w:rsidRPr="00C34EBE" w:rsidRDefault="00C34EBE" w:rsidP="00C34EBE">
      <w:pPr>
        <w:numPr>
          <w:ilvl w:val="1"/>
          <w:numId w:val="15"/>
        </w:numPr>
        <w:rPr>
          <w:rFonts w:ascii="Calibri" w:hAnsi="Calibri" w:cs="Calibri"/>
          <w:sz w:val="32"/>
          <w:szCs w:val="24"/>
        </w:rPr>
      </w:pPr>
      <w:r w:rsidRPr="00C34EBE">
        <w:rPr>
          <w:rFonts w:ascii="Calibri" w:hAnsi="Calibri" w:cs="Calibri"/>
          <w:sz w:val="32"/>
          <w:szCs w:val="24"/>
        </w:rPr>
        <w:t>Wealth Creation dominates as the primary purpose.</w:t>
      </w:r>
    </w:p>
    <w:p w14:paraId="5C211422" w14:textId="77777777" w:rsidR="00C34EBE" w:rsidRPr="00C34EBE" w:rsidRDefault="00C34EBE" w:rsidP="00C34EBE">
      <w:pPr>
        <w:numPr>
          <w:ilvl w:val="1"/>
          <w:numId w:val="15"/>
        </w:numPr>
        <w:rPr>
          <w:rFonts w:ascii="Calibri" w:hAnsi="Calibri" w:cs="Calibri"/>
          <w:sz w:val="32"/>
          <w:szCs w:val="24"/>
        </w:rPr>
      </w:pPr>
      <w:r w:rsidRPr="00C34EBE">
        <w:rPr>
          <w:rFonts w:ascii="Calibri" w:hAnsi="Calibri" w:cs="Calibri"/>
          <w:sz w:val="32"/>
          <w:szCs w:val="24"/>
        </w:rPr>
        <w:t>Secondary motivations include savings for the future and expected returns.</w:t>
      </w:r>
    </w:p>
    <w:p w14:paraId="7C0E3FC7"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t>Savings Objectives by Age</w:t>
      </w:r>
    </w:p>
    <w:p w14:paraId="49B1B6EB" w14:textId="77777777" w:rsidR="00C34EBE" w:rsidRPr="00C34EBE" w:rsidRDefault="00C34EBE" w:rsidP="00C34EBE">
      <w:pPr>
        <w:numPr>
          <w:ilvl w:val="0"/>
          <w:numId w:val="16"/>
        </w:numPr>
        <w:rPr>
          <w:rFonts w:ascii="Calibri" w:hAnsi="Calibri" w:cs="Calibri"/>
          <w:sz w:val="32"/>
          <w:szCs w:val="24"/>
        </w:rPr>
      </w:pPr>
      <w:r w:rsidRPr="00C34EBE">
        <w:rPr>
          <w:rFonts w:ascii="Calibri" w:hAnsi="Calibri" w:cs="Calibri"/>
          <w:sz w:val="32"/>
          <w:szCs w:val="24"/>
        </w:rPr>
        <w:t>A stacked bar chart divides objectives into:</w:t>
      </w:r>
    </w:p>
    <w:p w14:paraId="41C33880" w14:textId="77777777" w:rsidR="00C34EBE" w:rsidRPr="00C34EBE" w:rsidRDefault="00C34EBE" w:rsidP="00C34EBE">
      <w:pPr>
        <w:numPr>
          <w:ilvl w:val="1"/>
          <w:numId w:val="16"/>
        </w:numPr>
        <w:rPr>
          <w:rFonts w:ascii="Calibri" w:hAnsi="Calibri" w:cs="Calibri"/>
          <w:sz w:val="32"/>
          <w:szCs w:val="24"/>
        </w:rPr>
      </w:pPr>
      <w:r w:rsidRPr="00C34EBE">
        <w:rPr>
          <w:rFonts w:ascii="Calibri" w:hAnsi="Calibri" w:cs="Calibri"/>
          <w:sz w:val="32"/>
          <w:szCs w:val="24"/>
        </w:rPr>
        <w:t>Retirement Plans: More prevalent among older age groups (30–35).</w:t>
      </w:r>
    </w:p>
    <w:p w14:paraId="795B6C40" w14:textId="77777777" w:rsidR="00C34EBE" w:rsidRPr="00C34EBE" w:rsidRDefault="00C34EBE" w:rsidP="00C34EBE">
      <w:pPr>
        <w:numPr>
          <w:ilvl w:val="1"/>
          <w:numId w:val="16"/>
        </w:numPr>
        <w:rPr>
          <w:rFonts w:ascii="Calibri" w:hAnsi="Calibri" w:cs="Calibri"/>
          <w:sz w:val="32"/>
          <w:szCs w:val="24"/>
        </w:rPr>
      </w:pPr>
      <w:r w:rsidRPr="00C34EBE">
        <w:rPr>
          <w:rFonts w:ascii="Calibri" w:hAnsi="Calibri" w:cs="Calibri"/>
          <w:sz w:val="32"/>
          <w:szCs w:val="24"/>
        </w:rPr>
        <w:t>Health Care: A significant goal for all age ranges.</w:t>
      </w:r>
    </w:p>
    <w:p w14:paraId="4354C6B7" w14:textId="77777777" w:rsidR="00C34EBE" w:rsidRPr="00C34EBE" w:rsidRDefault="00C34EBE" w:rsidP="00C34EBE">
      <w:pPr>
        <w:numPr>
          <w:ilvl w:val="1"/>
          <w:numId w:val="16"/>
        </w:numPr>
        <w:rPr>
          <w:rFonts w:ascii="Calibri" w:hAnsi="Calibri" w:cs="Calibri"/>
          <w:sz w:val="32"/>
          <w:szCs w:val="24"/>
        </w:rPr>
      </w:pPr>
      <w:r w:rsidRPr="00C34EBE">
        <w:rPr>
          <w:rFonts w:ascii="Calibri" w:hAnsi="Calibri" w:cs="Calibri"/>
          <w:sz w:val="32"/>
          <w:szCs w:val="24"/>
        </w:rPr>
        <w:t>Education: Most relevant for younger respondents (0–25).</w:t>
      </w:r>
    </w:p>
    <w:p w14:paraId="265830E0"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t>Stock Market Interest</w:t>
      </w:r>
    </w:p>
    <w:p w14:paraId="2057C56A" w14:textId="77777777" w:rsidR="00C34EBE" w:rsidRPr="00C34EBE" w:rsidRDefault="00C34EBE" w:rsidP="00C34EBE">
      <w:pPr>
        <w:numPr>
          <w:ilvl w:val="0"/>
          <w:numId w:val="17"/>
        </w:numPr>
        <w:rPr>
          <w:rFonts w:ascii="Calibri" w:hAnsi="Calibri" w:cs="Calibri"/>
          <w:sz w:val="32"/>
          <w:szCs w:val="24"/>
        </w:rPr>
      </w:pPr>
      <w:r w:rsidRPr="00C34EBE">
        <w:rPr>
          <w:rFonts w:ascii="Calibri" w:hAnsi="Calibri" w:cs="Calibri"/>
          <w:sz w:val="32"/>
          <w:szCs w:val="24"/>
        </w:rPr>
        <w:t>Engagement:</w:t>
      </w:r>
    </w:p>
    <w:p w14:paraId="623D2449" w14:textId="77777777" w:rsidR="00C34EBE" w:rsidRPr="00C34EBE" w:rsidRDefault="00C34EBE" w:rsidP="00C34EBE">
      <w:pPr>
        <w:numPr>
          <w:ilvl w:val="1"/>
          <w:numId w:val="17"/>
        </w:numPr>
        <w:rPr>
          <w:rFonts w:ascii="Calibri" w:hAnsi="Calibri" w:cs="Calibri"/>
          <w:sz w:val="32"/>
          <w:szCs w:val="24"/>
        </w:rPr>
      </w:pPr>
      <w:r w:rsidRPr="00C34EBE">
        <w:rPr>
          <w:rFonts w:ascii="Calibri" w:hAnsi="Calibri" w:cs="Calibri"/>
          <w:sz w:val="32"/>
          <w:szCs w:val="24"/>
        </w:rPr>
        <w:t>Depicted through a donut chart: 87.5% are interested in the stock market, while only 12.5% are not.</w:t>
      </w:r>
    </w:p>
    <w:p w14:paraId="5EA5E7DF" w14:textId="77777777" w:rsidR="00C34EBE" w:rsidRPr="00C34EBE" w:rsidRDefault="00C34EBE" w:rsidP="00C34EBE">
      <w:pPr>
        <w:numPr>
          <w:ilvl w:val="0"/>
          <w:numId w:val="17"/>
        </w:numPr>
        <w:rPr>
          <w:rFonts w:ascii="Calibri" w:hAnsi="Calibri" w:cs="Calibri"/>
          <w:sz w:val="32"/>
          <w:szCs w:val="24"/>
        </w:rPr>
      </w:pPr>
      <w:r w:rsidRPr="00C34EBE">
        <w:rPr>
          <w:rFonts w:ascii="Calibri" w:hAnsi="Calibri" w:cs="Calibri"/>
          <w:sz w:val="32"/>
          <w:szCs w:val="24"/>
        </w:rPr>
        <w:t>Age-Wise Split:</w:t>
      </w:r>
    </w:p>
    <w:p w14:paraId="1DBD50AC" w14:textId="77777777" w:rsidR="00C34EBE" w:rsidRPr="00C34EBE" w:rsidRDefault="00C34EBE" w:rsidP="00C34EBE">
      <w:pPr>
        <w:numPr>
          <w:ilvl w:val="1"/>
          <w:numId w:val="17"/>
        </w:numPr>
        <w:rPr>
          <w:rFonts w:ascii="Calibri" w:hAnsi="Calibri" w:cs="Calibri"/>
          <w:sz w:val="32"/>
          <w:szCs w:val="24"/>
        </w:rPr>
      </w:pPr>
      <w:r w:rsidRPr="00C34EBE">
        <w:rPr>
          <w:rFonts w:ascii="Calibri" w:hAnsi="Calibri" w:cs="Calibri"/>
          <w:sz w:val="32"/>
          <w:szCs w:val="24"/>
        </w:rPr>
        <w:t>A stacked chart indicates that the 25–30 age group is most inclined toward stock market investments.</w:t>
      </w:r>
    </w:p>
    <w:p w14:paraId="02CC973A"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pict w14:anchorId="50D3700C">
          <v:rect id="_x0000_i1114" style="width:0;height:1.5pt" o:hralign="center" o:hrstd="t" o:hr="t" fillcolor="#a0a0a0" stroked="f"/>
        </w:pict>
      </w:r>
    </w:p>
    <w:p w14:paraId="7DD23D25" w14:textId="77777777" w:rsidR="00C34EBE" w:rsidRPr="00C34EBE" w:rsidRDefault="00C34EBE" w:rsidP="00C34EBE">
      <w:pPr>
        <w:ind w:left="720"/>
        <w:rPr>
          <w:rFonts w:ascii="Calibri" w:hAnsi="Calibri" w:cs="Calibri"/>
          <w:b/>
          <w:bCs/>
          <w:sz w:val="36"/>
          <w:szCs w:val="28"/>
        </w:rPr>
      </w:pPr>
      <w:r w:rsidRPr="00C34EBE">
        <w:rPr>
          <w:rFonts w:ascii="Calibri" w:hAnsi="Calibri" w:cs="Calibri"/>
          <w:b/>
          <w:bCs/>
          <w:sz w:val="36"/>
          <w:szCs w:val="28"/>
        </w:rPr>
        <w:t>8. Storytelling</w:t>
      </w:r>
    </w:p>
    <w:p w14:paraId="0580B3AD" w14:textId="7EE0E9C5" w:rsidR="00C34EBE" w:rsidRPr="00C34EBE" w:rsidRDefault="00C34EBE" w:rsidP="00C34EBE">
      <w:pPr>
        <w:ind w:left="720"/>
        <w:rPr>
          <w:rFonts w:ascii="Calibri" w:hAnsi="Calibri" w:cs="Calibri"/>
          <w:sz w:val="32"/>
          <w:szCs w:val="24"/>
        </w:rPr>
      </w:pPr>
      <w:r w:rsidRPr="00C34EBE">
        <w:rPr>
          <w:rFonts w:ascii="Calibri" w:hAnsi="Calibri" w:cs="Calibri"/>
          <w:sz w:val="32"/>
          <w:szCs w:val="24"/>
        </w:rPr>
        <w:t>The dashboard effectively narrates the investment behavio</w:t>
      </w:r>
      <w:r w:rsidR="00CC7C5A">
        <w:rPr>
          <w:rFonts w:ascii="Calibri" w:hAnsi="Calibri" w:cs="Calibri"/>
          <w:sz w:val="32"/>
          <w:szCs w:val="24"/>
        </w:rPr>
        <w:t>u</w:t>
      </w:r>
      <w:r w:rsidRPr="00C34EBE">
        <w:rPr>
          <w:rFonts w:ascii="Calibri" w:hAnsi="Calibri" w:cs="Calibri"/>
          <w:sz w:val="32"/>
          <w:szCs w:val="24"/>
        </w:rPr>
        <w:t>r and financial motivations of individuals:</w:t>
      </w:r>
    </w:p>
    <w:p w14:paraId="3579A860" w14:textId="77777777" w:rsidR="00C34EBE" w:rsidRPr="00C34EBE" w:rsidRDefault="00C34EBE" w:rsidP="00C34EBE">
      <w:pPr>
        <w:numPr>
          <w:ilvl w:val="0"/>
          <w:numId w:val="18"/>
        </w:numPr>
        <w:rPr>
          <w:rFonts w:ascii="Calibri" w:hAnsi="Calibri" w:cs="Calibri"/>
          <w:sz w:val="32"/>
          <w:szCs w:val="24"/>
        </w:rPr>
      </w:pPr>
      <w:r w:rsidRPr="00C34EBE">
        <w:rPr>
          <w:rFonts w:ascii="Calibri" w:hAnsi="Calibri" w:cs="Calibri"/>
          <w:sz w:val="32"/>
          <w:szCs w:val="24"/>
        </w:rPr>
        <w:t>Demographics: Women constitute a larger share of investors, with a significant portion aged 25–30.</w:t>
      </w:r>
    </w:p>
    <w:p w14:paraId="173D2B04" w14:textId="77777777" w:rsidR="00C34EBE" w:rsidRPr="00C34EBE" w:rsidRDefault="00C34EBE" w:rsidP="00C34EBE">
      <w:pPr>
        <w:numPr>
          <w:ilvl w:val="0"/>
          <w:numId w:val="18"/>
        </w:numPr>
        <w:rPr>
          <w:rFonts w:ascii="Calibri" w:hAnsi="Calibri" w:cs="Calibri"/>
          <w:sz w:val="32"/>
          <w:szCs w:val="24"/>
        </w:rPr>
      </w:pPr>
      <w:r w:rsidRPr="00C34EBE">
        <w:rPr>
          <w:rFonts w:ascii="Calibri" w:hAnsi="Calibri" w:cs="Calibri"/>
          <w:sz w:val="32"/>
          <w:szCs w:val="24"/>
        </w:rPr>
        <w:t>Popular Investment Avenues: Mutual funds and equities lead among financial instruments, especially for the 25–30 age group.</w:t>
      </w:r>
    </w:p>
    <w:p w14:paraId="20A7FE83" w14:textId="77777777" w:rsidR="00C34EBE" w:rsidRPr="00C34EBE" w:rsidRDefault="00C34EBE" w:rsidP="00C34EBE">
      <w:pPr>
        <w:numPr>
          <w:ilvl w:val="0"/>
          <w:numId w:val="18"/>
        </w:numPr>
        <w:rPr>
          <w:rFonts w:ascii="Calibri" w:hAnsi="Calibri" w:cs="Calibri"/>
          <w:sz w:val="32"/>
          <w:szCs w:val="24"/>
        </w:rPr>
      </w:pPr>
      <w:r w:rsidRPr="00C34EBE">
        <w:rPr>
          <w:rFonts w:ascii="Calibri" w:hAnsi="Calibri" w:cs="Calibri"/>
          <w:sz w:val="32"/>
          <w:szCs w:val="24"/>
        </w:rPr>
        <w:lastRenderedPageBreak/>
        <w:t>Purpose and Objectives:</w:t>
      </w:r>
    </w:p>
    <w:p w14:paraId="67DBBB0F" w14:textId="77777777" w:rsidR="00C34EBE" w:rsidRPr="00C34EBE" w:rsidRDefault="00C34EBE" w:rsidP="00C34EBE">
      <w:pPr>
        <w:numPr>
          <w:ilvl w:val="1"/>
          <w:numId w:val="18"/>
        </w:numPr>
        <w:rPr>
          <w:rFonts w:ascii="Calibri" w:hAnsi="Calibri" w:cs="Calibri"/>
          <w:sz w:val="32"/>
          <w:szCs w:val="24"/>
        </w:rPr>
      </w:pPr>
      <w:r w:rsidRPr="00C34EBE">
        <w:rPr>
          <w:rFonts w:ascii="Calibri" w:hAnsi="Calibri" w:cs="Calibri"/>
          <w:sz w:val="32"/>
          <w:szCs w:val="24"/>
        </w:rPr>
        <w:t>Wealth creation is the dominant driver across demographics.</w:t>
      </w:r>
    </w:p>
    <w:p w14:paraId="73A4159F" w14:textId="77777777" w:rsidR="00C34EBE" w:rsidRPr="00C34EBE" w:rsidRDefault="00C34EBE" w:rsidP="00C34EBE">
      <w:pPr>
        <w:numPr>
          <w:ilvl w:val="1"/>
          <w:numId w:val="18"/>
        </w:numPr>
        <w:rPr>
          <w:rFonts w:ascii="Calibri" w:hAnsi="Calibri" w:cs="Calibri"/>
          <w:sz w:val="32"/>
          <w:szCs w:val="24"/>
        </w:rPr>
      </w:pPr>
      <w:r w:rsidRPr="00C34EBE">
        <w:rPr>
          <w:rFonts w:ascii="Calibri" w:hAnsi="Calibri" w:cs="Calibri"/>
          <w:sz w:val="32"/>
          <w:szCs w:val="24"/>
        </w:rPr>
        <w:t>Savings objectives vary by age; younger groups focus on education, while older individuals prioritize health care and retirement.</w:t>
      </w:r>
    </w:p>
    <w:p w14:paraId="78DE7988" w14:textId="77777777" w:rsidR="00C34EBE" w:rsidRPr="00C34EBE" w:rsidRDefault="00C34EBE" w:rsidP="00C34EBE">
      <w:pPr>
        <w:numPr>
          <w:ilvl w:val="0"/>
          <w:numId w:val="18"/>
        </w:numPr>
        <w:rPr>
          <w:rFonts w:ascii="Calibri" w:hAnsi="Calibri" w:cs="Calibri"/>
          <w:sz w:val="32"/>
          <w:szCs w:val="24"/>
        </w:rPr>
      </w:pPr>
      <w:r w:rsidRPr="00C34EBE">
        <w:rPr>
          <w:rFonts w:ascii="Calibri" w:hAnsi="Calibri" w:cs="Calibri"/>
          <w:sz w:val="32"/>
          <w:szCs w:val="24"/>
        </w:rPr>
        <w:t>Stock Market:</w:t>
      </w:r>
    </w:p>
    <w:p w14:paraId="09E95184" w14:textId="77777777" w:rsidR="00C34EBE" w:rsidRPr="00C34EBE" w:rsidRDefault="00C34EBE" w:rsidP="00C34EBE">
      <w:pPr>
        <w:numPr>
          <w:ilvl w:val="1"/>
          <w:numId w:val="18"/>
        </w:numPr>
        <w:rPr>
          <w:rFonts w:ascii="Calibri" w:hAnsi="Calibri" w:cs="Calibri"/>
          <w:sz w:val="32"/>
          <w:szCs w:val="24"/>
        </w:rPr>
      </w:pPr>
      <w:r w:rsidRPr="00C34EBE">
        <w:rPr>
          <w:rFonts w:ascii="Calibri" w:hAnsi="Calibri" w:cs="Calibri"/>
          <w:sz w:val="32"/>
          <w:szCs w:val="24"/>
        </w:rPr>
        <w:t>A majority express strong interest in equity investments, particularly younger audiences.</w:t>
      </w:r>
    </w:p>
    <w:p w14:paraId="56E8F936" w14:textId="77777777" w:rsidR="00C34EBE" w:rsidRPr="00C34EBE" w:rsidRDefault="00C34EBE" w:rsidP="00C34EBE">
      <w:pPr>
        <w:ind w:left="720"/>
        <w:rPr>
          <w:rFonts w:ascii="Calibri" w:hAnsi="Calibri" w:cs="Calibri"/>
          <w:sz w:val="32"/>
          <w:szCs w:val="24"/>
        </w:rPr>
      </w:pPr>
      <w:r w:rsidRPr="00C34EBE">
        <w:rPr>
          <w:rFonts w:ascii="Calibri" w:hAnsi="Calibri" w:cs="Calibri"/>
          <w:sz w:val="32"/>
          <w:szCs w:val="24"/>
        </w:rPr>
        <w:pict w14:anchorId="5A7E542D">
          <v:rect id="_x0000_i1115" style="width:0;height:1.5pt" o:hralign="center" o:hrstd="t" o:hr="t" fillcolor="#a0a0a0" stroked="f"/>
        </w:pict>
      </w:r>
    </w:p>
    <w:p w14:paraId="42AD78AA" w14:textId="77777777" w:rsidR="00C34EBE" w:rsidRPr="00C34EBE" w:rsidRDefault="00C34EBE" w:rsidP="00C34EBE">
      <w:pPr>
        <w:ind w:left="720"/>
        <w:rPr>
          <w:rFonts w:ascii="Calibri" w:hAnsi="Calibri" w:cs="Calibri"/>
          <w:b/>
          <w:bCs/>
          <w:sz w:val="36"/>
          <w:szCs w:val="28"/>
        </w:rPr>
      </w:pPr>
      <w:r w:rsidRPr="00C34EBE">
        <w:rPr>
          <w:rFonts w:ascii="Calibri" w:hAnsi="Calibri" w:cs="Calibri"/>
          <w:b/>
          <w:bCs/>
          <w:sz w:val="36"/>
          <w:szCs w:val="28"/>
        </w:rPr>
        <w:t>9. Actionable Insights</w:t>
      </w:r>
    </w:p>
    <w:p w14:paraId="13FAE8C1" w14:textId="77777777" w:rsidR="00C34EBE" w:rsidRPr="00C34EBE" w:rsidRDefault="00C34EBE" w:rsidP="00C34EBE">
      <w:pPr>
        <w:numPr>
          <w:ilvl w:val="0"/>
          <w:numId w:val="19"/>
        </w:numPr>
        <w:rPr>
          <w:rFonts w:ascii="Calibri" w:hAnsi="Calibri" w:cs="Calibri"/>
          <w:sz w:val="32"/>
          <w:szCs w:val="24"/>
        </w:rPr>
      </w:pPr>
      <w:r w:rsidRPr="00C34EBE">
        <w:rPr>
          <w:rFonts w:ascii="Calibri" w:hAnsi="Calibri" w:cs="Calibri"/>
          <w:sz w:val="32"/>
          <w:szCs w:val="24"/>
        </w:rPr>
        <w:t>Target the 25–30 Age Group: Marketing and educational campaigns should focus on this group due to their high interest in diverse investment avenues and stock markets.</w:t>
      </w:r>
    </w:p>
    <w:p w14:paraId="1BBFE32C" w14:textId="77777777" w:rsidR="00C34EBE" w:rsidRPr="00C34EBE" w:rsidRDefault="00C34EBE" w:rsidP="00C34EBE">
      <w:pPr>
        <w:numPr>
          <w:ilvl w:val="0"/>
          <w:numId w:val="19"/>
        </w:numPr>
        <w:rPr>
          <w:rFonts w:ascii="Calibri" w:hAnsi="Calibri" w:cs="Calibri"/>
          <w:sz w:val="32"/>
          <w:szCs w:val="24"/>
        </w:rPr>
      </w:pPr>
      <w:r w:rsidRPr="00C34EBE">
        <w:rPr>
          <w:rFonts w:ascii="Calibri" w:hAnsi="Calibri" w:cs="Calibri"/>
          <w:sz w:val="32"/>
          <w:szCs w:val="24"/>
        </w:rPr>
        <w:t>Customized Offerings:</w:t>
      </w:r>
    </w:p>
    <w:p w14:paraId="2B7AC529" w14:textId="77777777" w:rsidR="00C34EBE" w:rsidRPr="00C34EBE" w:rsidRDefault="00C34EBE" w:rsidP="00C34EBE">
      <w:pPr>
        <w:numPr>
          <w:ilvl w:val="1"/>
          <w:numId w:val="19"/>
        </w:numPr>
        <w:rPr>
          <w:rFonts w:ascii="Calibri" w:hAnsi="Calibri" w:cs="Calibri"/>
          <w:sz w:val="32"/>
          <w:szCs w:val="24"/>
        </w:rPr>
      </w:pPr>
      <w:r w:rsidRPr="00C34EBE">
        <w:rPr>
          <w:rFonts w:ascii="Calibri" w:hAnsi="Calibri" w:cs="Calibri"/>
          <w:sz w:val="32"/>
          <w:szCs w:val="24"/>
        </w:rPr>
        <w:t>Retirement planning products for older demographics.</w:t>
      </w:r>
    </w:p>
    <w:p w14:paraId="1FEA75E3" w14:textId="77777777" w:rsidR="00C34EBE" w:rsidRPr="00C34EBE" w:rsidRDefault="00C34EBE" w:rsidP="00C34EBE">
      <w:pPr>
        <w:numPr>
          <w:ilvl w:val="1"/>
          <w:numId w:val="19"/>
        </w:numPr>
        <w:rPr>
          <w:rFonts w:ascii="Calibri" w:hAnsi="Calibri" w:cs="Calibri"/>
          <w:sz w:val="32"/>
          <w:szCs w:val="24"/>
        </w:rPr>
      </w:pPr>
      <w:r w:rsidRPr="00C34EBE">
        <w:rPr>
          <w:rFonts w:ascii="Calibri" w:hAnsi="Calibri" w:cs="Calibri"/>
          <w:sz w:val="32"/>
          <w:szCs w:val="24"/>
        </w:rPr>
        <w:t>Health care and education-oriented savings plans for younger groups.</w:t>
      </w:r>
    </w:p>
    <w:p w14:paraId="00B93D97" w14:textId="77777777" w:rsidR="00C34EBE" w:rsidRPr="00C34EBE" w:rsidRDefault="00C34EBE" w:rsidP="00C34EBE">
      <w:pPr>
        <w:numPr>
          <w:ilvl w:val="0"/>
          <w:numId w:val="19"/>
        </w:numPr>
        <w:rPr>
          <w:rFonts w:ascii="Calibri" w:hAnsi="Calibri" w:cs="Calibri"/>
          <w:sz w:val="32"/>
          <w:szCs w:val="24"/>
        </w:rPr>
      </w:pPr>
      <w:r w:rsidRPr="00C34EBE">
        <w:rPr>
          <w:rFonts w:ascii="Calibri" w:hAnsi="Calibri" w:cs="Calibri"/>
          <w:sz w:val="32"/>
          <w:szCs w:val="24"/>
        </w:rPr>
        <w:t>Gender-Based Campaigns:</w:t>
      </w:r>
    </w:p>
    <w:p w14:paraId="5D7C7F34" w14:textId="77777777" w:rsidR="00C34EBE" w:rsidRPr="00C34EBE" w:rsidRDefault="00C34EBE" w:rsidP="00C34EBE">
      <w:pPr>
        <w:numPr>
          <w:ilvl w:val="1"/>
          <w:numId w:val="19"/>
        </w:numPr>
        <w:rPr>
          <w:rFonts w:ascii="Calibri" w:hAnsi="Calibri" w:cs="Calibri"/>
          <w:sz w:val="32"/>
          <w:szCs w:val="24"/>
        </w:rPr>
      </w:pPr>
      <w:r w:rsidRPr="00C34EBE">
        <w:rPr>
          <w:rFonts w:ascii="Calibri" w:hAnsi="Calibri" w:cs="Calibri"/>
          <w:sz w:val="32"/>
          <w:szCs w:val="24"/>
        </w:rPr>
        <w:t>Design products tailored to women, who represent a significant investor base.</w:t>
      </w:r>
    </w:p>
    <w:p w14:paraId="66149C7D" w14:textId="77777777" w:rsidR="003752FD" w:rsidRPr="00C34EBE" w:rsidRDefault="003752FD" w:rsidP="00C34EBE">
      <w:pPr>
        <w:ind w:left="720"/>
        <w:rPr>
          <w:rFonts w:ascii="Calibri" w:hAnsi="Calibri" w:cs="Calibri"/>
          <w:sz w:val="32"/>
          <w:szCs w:val="24"/>
        </w:rPr>
      </w:pPr>
    </w:p>
    <w:sectPr w:rsidR="003752FD" w:rsidRPr="00C34EBE" w:rsidSect="003752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3C1D"/>
    <w:multiLevelType w:val="multilevel"/>
    <w:tmpl w:val="AF0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4E97"/>
    <w:multiLevelType w:val="multilevel"/>
    <w:tmpl w:val="58C4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6449"/>
    <w:multiLevelType w:val="multilevel"/>
    <w:tmpl w:val="395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C632C"/>
    <w:multiLevelType w:val="multilevel"/>
    <w:tmpl w:val="C4C4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66462"/>
    <w:multiLevelType w:val="multilevel"/>
    <w:tmpl w:val="AA32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B35C7"/>
    <w:multiLevelType w:val="multilevel"/>
    <w:tmpl w:val="9BD0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00A4C"/>
    <w:multiLevelType w:val="multilevel"/>
    <w:tmpl w:val="5F24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B43DC5"/>
    <w:multiLevelType w:val="multilevel"/>
    <w:tmpl w:val="FCBC7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05920"/>
    <w:multiLevelType w:val="multilevel"/>
    <w:tmpl w:val="D5549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56587"/>
    <w:multiLevelType w:val="multilevel"/>
    <w:tmpl w:val="911C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04CCB"/>
    <w:multiLevelType w:val="multilevel"/>
    <w:tmpl w:val="9D660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A7AFF"/>
    <w:multiLevelType w:val="multilevel"/>
    <w:tmpl w:val="D7E6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025E2A"/>
    <w:multiLevelType w:val="multilevel"/>
    <w:tmpl w:val="78000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D4852"/>
    <w:multiLevelType w:val="multilevel"/>
    <w:tmpl w:val="4F3E8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51837"/>
    <w:multiLevelType w:val="multilevel"/>
    <w:tmpl w:val="680A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B2D31"/>
    <w:multiLevelType w:val="multilevel"/>
    <w:tmpl w:val="F48A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E356E9"/>
    <w:multiLevelType w:val="multilevel"/>
    <w:tmpl w:val="D130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D1BDA"/>
    <w:multiLevelType w:val="multilevel"/>
    <w:tmpl w:val="4222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50C00"/>
    <w:multiLevelType w:val="multilevel"/>
    <w:tmpl w:val="2BE67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700897">
    <w:abstractNumId w:val="6"/>
  </w:num>
  <w:num w:numId="2" w16cid:durableId="1644122644">
    <w:abstractNumId w:val="14"/>
  </w:num>
  <w:num w:numId="3" w16cid:durableId="1891500391">
    <w:abstractNumId w:val="3"/>
  </w:num>
  <w:num w:numId="4" w16cid:durableId="1159803860">
    <w:abstractNumId w:val="2"/>
  </w:num>
  <w:num w:numId="5" w16cid:durableId="1411853994">
    <w:abstractNumId w:val="4"/>
  </w:num>
  <w:num w:numId="6" w16cid:durableId="1207182794">
    <w:abstractNumId w:val="16"/>
  </w:num>
  <w:num w:numId="7" w16cid:durableId="1144007264">
    <w:abstractNumId w:val="17"/>
  </w:num>
  <w:num w:numId="8" w16cid:durableId="893855856">
    <w:abstractNumId w:val="9"/>
  </w:num>
  <w:num w:numId="9" w16cid:durableId="425808091">
    <w:abstractNumId w:val="0"/>
  </w:num>
  <w:num w:numId="10" w16cid:durableId="1746880883">
    <w:abstractNumId w:val="5"/>
  </w:num>
  <w:num w:numId="11" w16cid:durableId="1919749068">
    <w:abstractNumId w:val="1"/>
  </w:num>
  <w:num w:numId="12" w16cid:durableId="1195926608">
    <w:abstractNumId w:val="11"/>
  </w:num>
  <w:num w:numId="13" w16cid:durableId="553277440">
    <w:abstractNumId w:val="8"/>
  </w:num>
  <w:num w:numId="14" w16cid:durableId="547842557">
    <w:abstractNumId w:val="10"/>
  </w:num>
  <w:num w:numId="15" w16cid:durableId="2139570522">
    <w:abstractNumId w:val="13"/>
  </w:num>
  <w:num w:numId="16" w16cid:durableId="1580752265">
    <w:abstractNumId w:val="15"/>
  </w:num>
  <w:num w:numId="17" w16cid:durableId="446002189">
    <w:abstractNumId w:val="7"/>
  </w:num>
  <w:num w:numId="18" w16cid:durableId="223175918">
    <w:abstractNumId w:val="18"/>
  </w:num>
  <w:num w:numId="19" w16cid:durableId="1060433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FD"/>
    <w:rsid w:val="00055752"/>
    <w:rsid w:val="000A4B7D"/>
    <w:rsid w:val="00162E47"/>
    <w:rsid w:val="003752FD"/>
    <w:rsid w:val="0054080B"/>
    <w:rsid w:val="005F0E08"/>
    <w:rsid w:val="00944185"/>
    <w:rsid w:val="00C34EBE"/>
    <w:rsid w:val="00C654D1"/>
    <w:rsid w:val="00C90D33"/>
    <w:rsid w:val="00CC7C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9AE7"/>
  <w15:chartTrackingRefBased/>
  <w15:docId w15:val="{AAE347E6-60AA-4192-9AD5-EB952DA3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2F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752F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752F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75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2F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752F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752F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75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2FD"/>
    <w:rPr>
      <w:rFonts w:eastAsiaTheme="majorEastAsia" w:cstheme="majorBidi"/>
      <w:color w:val="272727" w:themeColor="text1" w:themeTint="D8"/>
    </w:rPr>
  </w:style>
  <w:style w:type="paragraph" w:styleId="Title">
    <w:name w:val="Title"/>
    <w:basedOn w:val="Normal"/>
    <w:next w:val="Normal"/>
    <w:link w:val="TitleChar"/>
    <w:uiPriority w:val="10"/>
    <w:qFormat/>
    <w:rsid w:val="003752F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752F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752F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752F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752FD"/>
    <w:pPr>
      <w:spacing w:before="160"/>
      <w:jc w:val="center"/>
    </w:pPr>
    <w:rPr>
      <w:i/>
      <w:iCs/>
      <w:color w:val="404040" w:themeColor="text1" w:themeTint="BF"/>
    </w:rPr>
  </w:style>
  <w:style w:type="character" w:customStyle="1" w:styleId="QuoteChar">
    <w:name w:val="Quote Char"/>
    <w:basedOn w:val="DefaultParagraphFont"/>
    <w:link w:val="Quote"/>
    <w:uiPriority w:val="29"/>
    <w:rsid w:val="003752FD"/>
    <w:rPr>
      <w:i/>
      <w:iCs/>
      <w:color w:val="404040" w:themeColor="text1" w:themeTint="BF"/>
    </w:rPr>
  </w:style>
  <w:style w:type="paragraph" w:styleId="ListParagraph">
    <w:name w:val="List Paragraph"/>
    <w:basedOn w:val="Normal"/>
    <w:uiPriority w:val="34"/>
    <w:qFormat/>
    <w:rsid w:val="003752FD"/>
    <w:pPr>
      <w:ind w:left="720"/>
      <w:contextualSpacing/>
    </w:pPr>
  </w:style>
  <w:style w:type="character" w:styleId="IntenseEmphasis">
    <w:name w:val="Intense Emphasis"/>
    <w:basedOn w:val="DefaultParagraphFont"/>
    <w:uiPriority w:val="21"/>
    <w:qFormat/>
    <w:rsid w:val="003752FD"/>
    <w:rPr>
      <w:i/>
      <w:iCs/>
      <w:color w:val="0F4761" w:themeColor="accent1" w:themeShade="BF"/>
    </w:rPr>
  </w:style>
  <w:style w:type="paragraph" w:styleId="IntenseQuote">
    <w:name w:val="Intense Quote"/>
    <w:basedOn w:val="Normal"/>
    <w:next w:val="Normal"/>
    <w:link w:val="IntenseQuoteChar"/>
    <w:uiPriority w:val="30"/>
    <w:qFormat/>
    <w:rsid w:val="00375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2FD"/>
    <w:rPr>
      <w:i/>
      <w:iCs/>
      <w:color w:val="0F4761" w:themeColor="accent1" w:themeShade="BF"/>
    </w:rPr>
  </w:style>
  <w:style w:type="character" w:styleId="IntenseReference">
    <w:name w:val="Intense Reference"/>
    <w:basedOn w:val="DefaultParagraphFont"/>
    <w:uiPriority w:val="32"/>
    <w:qFormat/>
    <w:rsid w:val="003752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253319">
      <w:bodyDiv w:val="1"/>
      <w:marLeft w:val="0"/>
      <w:marRight w:val="0"/>
      <w:marTop w:val="0"/>
      <w:marBottom w:val="0"/>
      <w:divBdr>
        <w:top w:val="none" w:sz="0" w:space="0" w:color="auto"/>
        <w:left w:val="none" w:sz="0" w:space="0" w:color="auto"/>
        <w:bottom w:val="none" w:sz="0" w:space="0" w:color="auto"/>
        <w:right w:val="none" w:sz="0" w:space="0" w:color="auto"/>
      </w:divBdr>
    </w:div>
    <w:div w:id="1332565906">
      <w:bodyDiv w:val="1"/>
      <w:marLeft w:val="0"/>
      <w:marRight w:val="0"/>
      <w:marTop w:val="0"/>
      <w:marBottom w:val="0"/>
      <w:divBdr>
        <w:top w:val="none" w:sz="0" w:space="0" w:color="auto"/>
        <w:left w:val="none" w:sz="0" w:space="0" w:color="auto"/>
        <w:bottom w:val="none" w:sz="0" w:space="0" w:color="auto"/>
        <w:right w:val="none" w:sz="0" w:space="0" w:color="auto"/>
      </w:divBdr>
    </w:div>
    <w:div w:id="1433814186">
      <w:bodyDiv w:val="1"/>
      <w:marLeft w:val="0"/>
      <w:marRight w:val="0"/>
      <w:marTop w:val="0"/>
      <w:marBottom w:val="0"/>
      <w:divBdr>
        <w:top w:val="none" w:sz="0" w:space="0" w:color="auto"/>
        <w:left w:val="none" w:sz="0" w:space="0" w:color="auto"/>
        <w:bottom w:val="none" w:sz="0" w:space="0" w:color="auto"/>
        <w:right w:val="none" w:sz="0" w:space="0" w:color="auto"/>
      </w:divBdr>
    </w:div>
    <w:div w:id="172806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Sinha</dc:creator>
  <cp:keywords/>
  <dc:description/>
  <cp:lastModifiedBy>Garima Sinha</cp:lastModifiedBy>
  <cp:revision>8</cp:revision>
  <dcterms:created xsi:type="dcterms:W3CDTF">2024-11-19T17:33:00Z</dcterms:created>
  <dcterms:modified xsi:type="dcterms:W3CDTF">2024-11-23T16:34:00Z</dcterms:modified>
</cp:coreProperties>
</file>