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2E862E"/>
      </w:pPr>
      <w:r>
        <w:rPr>
          <w:b/>
          <w:color w:val="FFFFFF"/>
          <w:sz w:val="22"/>
        </w:rPr>
        <w:t xml:space="preserve">  PIZZA FRESH &amp; TASTY  |  Sales Performance Report</w:t>
      </w:r>
    </w:p>
    <w:p>
      <w:pPr>
        <w:spacing w:after="0"/>
      </w:pPr>
      <w:r>
        <w:rPr>
          <w:i/>
          <w:color w:val="555555"/>
          <w:sz w:val="18"/>
        </w:rPr>
        <w:t>Prepared by: DataEdge Analytics  ·  Freelance Consulting</w:t>
      </w:r>
    </w:p>
    <w:p>
      <w:pPr>
        <w:spacing w:before="360" w:after="120"/>
        <w:jc w:val="left"/>
      </w:pPr>
      <w:r>
        <w:rPr>
          <w:b/>
          <w:color w:val="1A1A2E"/>
          <w:sz w:val="56"/>
        </w:rPr>
        <w:t>Pizza Sale Dashboard</w:t>
        <w:br/>
        <w:t>Analysis &amp; Strategic Report</w:t>
      </w:r>
    </w:p>
    <w:p>
      <w:pPr>
        <w:spacing w:after="40"/>
      </w:pPr>
      <w:r>
        <w:rPr>
          <w:color w:val="555555"/>
          <w:sz w:val="18"/>
        </w:rPr>
        <w:t>Reporting Period: Current Month  ·  Issued: April 25, 2026  ·  CONFIDENTIAL</w:t>
      </w:r>
    </w:p>
    <w:p>
      <w:pPr>
        <w:pBdr>
          <w:bottom w:val="single" w:sz="12" w:space="1" w:color="2E862E"/>
        </w:pBdr>
        <w:spacing w:before="0" w:after="80"/>
      </w:pPr>
    </w:p>
    <w:p>
      <w:pPr>
        <w:spacing w:before="280" w:after="120"/>
      </w:pPr>
      <w:r>
        <w:rPr>
          <w:b/>
          <w:color w:val="2E862E"/>
          <w:sz w:val="36"/>
        </w:rPr>
        <w:t>1. Executive Summary</w:t>
      </w:r>
    </w:p>
    <w:p>
      <w:pPr>
        <w:spacing w:after="120"/>
      </w:pPr>
      <w:r>
        <w:rPr>
          <w:i w:val="0"/>
          <w:color w:val="555555"/>
          <w:sz w:val="21"/>
        </w:rPr>
        <w:t>This report presents a comprehensive analysis of Pizza Fresh &amp; Tasty's sales performance for the current reporting period. The data, drawn from the Pizza Sale Dashboard, covers revenue, order volumes, product performance, and temporal demand patterns across hours of the day and days of the week.</w:t>
      </w:r>
    </w:p>
    <w:p>
      <w:pPr>
        <w:spacing w:after="200"/>
      </w:pPr>
      <w:r>
        <w:rPr>
          <w:i w:val="0"/>
          <w:color w:val="555555"/>
          <w:sz w:val="21"/>
        </w:rPr>
        <w:t>Overall, the business demonstrates strong growth momentum — revenue and order counts are both trending upward. However, there are clear opportunities in menu optimisation, promotional timing, and staffing allocation that this report highlights with actionable recommendations.</w:t>
      </w:r>
    </w:p>
    <w:p>
      <w:pPr>
        <w:spacing w:before="240" w:after="120"/>
      </w:pPr>
      <w:r>
        <w:rPr>
          <w:b/>
          <w:color w:val="2E862E"/>
          <w:sz w:val="36"/>
        </w:rPr>
        <w:t>2. Key Performance Indicators</w:t>
      </w:r>
    </w:p>
    <w:p>
      <w:pPr>
        <w:spacing w:after="120"/>
      </w:pPr>
      <w:r>
        <w:rPr>
          <w:i w:val="0"/>
          <w:color w:val="555555"/>
          <w:sz w:val="21"/>
        </w:rPr>
        <w:t>The four primary KPIs for the reporting period are summarised below:</w:t>
      </w:r>
    </w:p>
    <w:tbl>
      <w:tblPr>
        <w:tblW w:type="auto" w:w="0"/>
        <w:jc w:val="left"/>
        <w:tblLook w:firstColumn="1" w:firstRow="1" w:lastColumn="0" w:lastRow="0" w:noHBand="0" w:noVBand="1" w:val="04A0"/>
      </w:tblPr>
      <w:tblGrid>
        <w:gridCol w:w="2340"/>
        <w:gridCol w:w="2340"/>
        <w:gridCol w:w="2340"/>
        <w:gridCol w:w="2340"/>
      </w:tblGrid>
      <w:tr>
        <w:tc>
          <w:tcPr>
            <w:tcW w:type="dxa" w:w="3456"/>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20"/>
              </w:rPr>
              <w:t>KPI</w:t>
            </w:r>
          </w:p>
        </w:tc>
        <w:tc>
          <w:tcPr>
            <w:tcW w:type="dxa" w:w="2304"/>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20"/>
              </w:rPr>
              <w:t>Value</w:t>
            </w:r>
          </w:p>
        </w:tc>
        <w:tc>
          <w:tcPr>
            <w:tcW w:type="dxa" w:w="2592"/>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20"/>
              </w:rPr>
              <w:t>vs. Last Month</w:t>
            </w:r>
          </w:p>
        </w:tc>
        <w:tc>
          <w:tcPr>
            <w:tcW w:type="dxa" w:w="2160"/>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20"/>
              </w:rPr>
              <w:t>Status</w:t>
            </w:r>
          </w:p>
        </w:tc>
      </w:tr>
      <w:tr>
        <w:tc>
          <w:tcPr>
            <w:tcW w:type="dxa" w:w="345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20"/>
              </w:rPr>
              <w:t>Total Revenue</w:t>
            </w:r>
          </w:p>
        </w:tc>
        <w:tc>
          <w:tcPr>
            <w:tcW w:type="dxa" w:w="2304"/>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20"/>
              </w:rPr>
              <w:t>₹ 8,17,860</w:t>
            </w:r>
          </w:p>
        </w:tc>
        <w:tc>
          <w:tcPr>
            <w:tcW w:type="dxa" w:w="2592"/>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2E862E"/>
                <w:sz w:val="20"/>
              </w:rPr>
              <w:t>▲ +12%</w:t>
            </w:r>
          </w:p>
        </w:tc>
        <w:tc>
          <w:tcPr>
            <w:tcW w:type="dxa" w:w="2160"/>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2E862E"/>
                <w:sz w:val="20"/>
              </w:rPr>
              <w:t>✔ Positive</w:t>
            </w:r>
          </w:p>
        </w:tc>
      </w:tr>
      <w:tr>
        <w:tc>
          <w:tcPr>
            <w:tcW w:type="dxa" w:w="345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20"/>
              </w:rPr>
              <w:t>Total Orders</w:t>
            </w:r>
          </w:p>
        </w:tc>
        <w:tc>
          <w:tcPr>
            <w:tcW w:type="dxa" w:w="2304"/>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20"/>
              </w:rPr>
              <w:t>12,450</w:t>
            </w:r>
          </w:p>
        </w:tc>
        <w:tc>
          <w:tcPr>
            <w:tcW w:type="dxa" w:w="2592"/>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2E862E"/>
                <w:sz w:val="20"/>
              </w:rPr>
              <w:t>▲ +8%</w:t>
            </w:r>
          </w:p>
        </w:tc>
        <w:tc>
          <w:tcPr>
            <w:tcW w:type="dxa" w:w="2160"/>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2E862E"/>
                <w:sz w:val="20"/>
              </w:rPr>
              <w:t>✔ Positive</w:t>
            </w:r>
          </w:p>
        </w:tc>
      </w:tr>
      <w:tr>
        <w:tc>
          <w:tcPr>
            <w:tcW w:type="dxa" w:w="345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20"/>
              </w:rPr>
              <w:t>Total Units Sold</w:t>
            </w:r>
          </w:p>
        </w:tc>
        <w:tc>
          <w:tcPr>
            <w:tcW w:type="dxa" w:w="2304"/>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20"/>
              </w:rPr>
              <w:t>18,900</w:t>
            </w:r>
          </w:p>
        </w:tc>
        <w:tc>
          <w:tcPr>
            <w:tcW w:type="dxa" w:w="2592"/>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C0392B"/>
                <w:sz w:val="20"/>
              </w:rPr>
              <w:t>▼ −3%</w:t>
            </w:r>
          </w:p>
        </w:tc>
        <w:tc>
          <w:tcPr>
            <w:tcW w:type="dxa" w:w="2160"/>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C0392B"/>
                <w:sz w:val="20"/>
              </w:rPr>
              <w:t>⚠ Monitor</w:t>
            </w:r>
          </w:p>
        </w:tc>
      </w:tr>
      <w:tr>
        <w:tc>
          <w:tcPr>
            <w:tcW w:type="dxa" w:w="345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20"/>
              </w:rPr>
              <w:t>Avg Order Value</w:t>
            </w:r>
          </w:p>
        </w:tc>
        <w:tc>
          <w:tcPr>
            <w:tcW w:type="dxa" w:w="2304"/>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20"/>
              </w:rPr>
              <w:t>₹ 650</w:t>
            </w:r>
          </w:p>
        </w:tc>
        <w:tc>
          <w:tcPr>
            <w:tcW w:type="dxa" w:w="2592"/>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2E862E"/>
                <w:sz w:val="20"/>
              </w:rPr>
              <w:t>▲ +5%</w:t>
            </w:r>
          </w:p>
        </w:tc>
        <w:tc>
          <w:tcPr>
            <w:tcW w:type="dxa" w:w="2160"/>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2E862E"/>
                <w:sz w:val="20"/>
              </w:rPr>
              <w:t>✔ Positive</w:t>
            </w:r>
          </w:p>
        </w:tc>
      </w:tr>
    </w:tbl>
    <w:p>
      <w:pPr>
        <w:spacing w:after="80"/>
      </w:pPr>
    </w:p>
    <w:p>
      <w:pPr>
        <w:spacing w:before="280" w:after="120"/>
      </w:pPr>
      <w:r>
        <w:rPr>
          <w:b/>
          <w:color w:val="2E862E"/>
          <w:sz w:val="36"/>
        </w:rPr>
        <w:t>3. Product Performance</w:t>
      </w:r>
    </w:p>
    <w:p>
      <w:pPr>
        <w:spacing w:before="240" w:after="120"/>
      </w:pPr>
      <w:r>
        <w:rPr>
          <w:b/>
          <w:color w:val="1A1A2E"/>
          <w:sz w:val="26"/>
        </w:rPr>
        <w:t>3.1 Top 5 Best-Selling Pizzas</w:t>
      </w:r>
    </w:p>
    <w:tbl>
      <w:tblPr>
        <w:tblW w:type="auto" w:w="0"/>
        <w:jc w:val="left"/>
        <w:tblLook w:firstColumn="1" w:firstRow="1" w:lastColumn="0" w:lastRow="0" w:noHBand="0" w:noVBand="1" w:val="04A0"/>
      </w:tblPr>
      <w:tblGrid>
        <w:gridCol w:w="3120"/>
        <w:gridCol w:w="3120"/>
        <w:gridCol w:w="3120"/>
      </w:tblGrid>
      <w:tr>
        <w:tc>
          <w:tcPr>
            <w:tcW w:type="dxa" w:w="1296"/>
            <w:vAlign w:val="center"/>
            <w:shd w:val="clear" w:color="auto" w:fill="2E862E"/>
            <w:tcBorders>
              <w:top w:val="single" w:sz="4" w:space="0" w:color="CCCCCC"/>
              <w:left w:val="single" w:sz="4" w:space="0" w:color="CCCCCC"/>
              <w:bottom w:val="single" w:sz="4" w:space="0" w:color="CCCCCC"/>
              <w:right w:val="single" w:sz="4" w:space="0" w:color="CCCCCC"/>
            </w:tcBorders>
          </w:tcPr>
          <w:p>
            <w:pPr>
              <w:jc w:val="center"/>
            </w:pPr>
            <w:r>
              <w:rPr>
                <w:b/>
                <w:color w:val="FFFFFF"/>
                <w:sz w:val="20"/>
              </w:rPr>
              <w:t>Rank</w:t>
            </w:r>
          </w:p>
        </w:tc>
        <w:tc>
          <w:tcPr>
            <w:tcW w:type="dxa" w:w="5472"/>
            <w:vAlign w:val="center"/>
            <w:shd w:val="clear" w:color="auto" w:fill="2E862E"/>
            <w:tcBorders>
              <w:top w:val="single" w:sz="4" w:space="0" w:color="CCCCCC"/>
              <w:left w:val="single" w:sz="4" w:space="0" w:color="CCCCCC"/>
              <w:bottom w:val="single" w:sz="4" w:space="0" w:color="CCCCCC"/>
              <w:right w:val="single" w:sz="4" w:space="0" w:color="CCCCCC"/>
            </w:tcBorders>
          </w:tcPr>
          <w:p>
            <w:pPr>
              <w:jc w:val="left"/>
            </w:pPr>
            <w:r>
              <w:rPr>
                <w:b/>
                <w:color w:val="FFFFFF"/>
                <w:sz w:val="20"/>
              </w:rPr>
              <w:t>Pizza Name</w:t>
            </w:r>
          </w:p>
        </w:tc>
        <w:tc>
          <w:tcPr>
            <w:tcW w:type="dxa" w:w="2304"/>
            <w:vAlign w:val="center"/>
            <w:shd w:val="clear" w:color="auto" w:fill="2E862E"/>
            <w:tcBorders>
              <w:top w:val="single" w:sz="4" w:space="0" w:color="CCCCCC"/>
              <w:left w:val="single" w:sz="4" w:space="0" w:color="CCCCCC"/>
              <w:bottom w:val="single" w:sz="4" w:space="0" w:color="CCCCCC"/>
              <w:right w:val="single" w:sz="4" w:space="0" w:color="CCCCCC"/>
            </w:tcBorders>
          </w:tcPr>
          <w:p>
            <w:pPr>
              <w:jc w:val="center"/>
            </w:pPr>
            <w:r>
              <w:rPr>
                <w:b/>
                <w:color w:val="FFFFFF"/>
                <w:sz w:val="20"/>
              </w:rPr>
              <w:t>Units Sold</w:t>
            </w:r>
          </w:p>
        </w:tc>
      </w:tr>
      <w:tr>
        <w:tc>
          <w:tcPr>
            <w:tcW w:type="dxa" w:w="1296"/>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color w:val="1A1A2E"/>
                <w:sz w:val="20"/>
              </w:rPr>
              <w:t>#1</w:t>
            </w:r>
          </w:p>
        </w:tc>
        <w:tc>
          <w:tcPr>
            <w:tcW w:type="dxa" w:w="547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color w:val="1A1A2E"/>
                <w:sz w:val="20"/>
              </w:rPr>
              <w:t>The Classic Deluxe Pizza</w:t>
            </w:r>
          </w:p>
        </w:tc>
        <w:tc>
          <w:tcPr>
            <w:tcW w:type="dxa" w:w="2304"/>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color w:val="1A1A2E"/>
                <w:sz w:val="20"/>
              </w:rPr>
              <w:t>2,453</w:t>
            </w:r>
          </w:p>
        </w:tc>
      </w:tr>
      <w:tr>
        <w:tc>
          <w:tcPr>
            <w:tcW w:type="dxa" w:w="1296"/>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w:t>
            </w:r>
          </w:p>
        </w:tc>
        <w:tc>
          <w:tcPr>
            <w:tcW w:type="dxa" w:w="547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color w:val="1A1A2E"/>
                <w:sz w:val="20"/>
              </w:rPr>
              <w:t>The Barbecue Chicken Pizza</w:t>
            </w:r>
          </w:p>
        </w:tc>
        <w:tc>
          <w:tcPr>
            <w:tcW w:type="dxa" w:w="2304"/>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2,432</w:t>
            </w:r>
          </w:p>
        </w:tc>
      </w:tr>
      <w:tr>
        <w:tc>
          <w:tcPr>
            <w:tcW w:type="dxa" w:w="1296"/>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color w:val="1A1A2E"/>
                <w:sz w:val="20"/>
              </w:rPr>
              <w:t>#3</w:t>
            </w:r>
          </w:p>
        </w:tc>
        <w:tc>
          <w:tcPr>
            <w:tcW w:type="dxa" w:w="547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color w:val="1A1A2E"/>
                <w:sz w:val="20"/>
              </w:rPr>
              <w:t>The Hawaiian Pizza</w:t>
            </w:r>
          </w:p>
        </w:tc>
        <w:tc>
          <w:tcPr>
            <w:tcW w:type="dxa" w:w="2304"/>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color w:val="1A1A2E"/>
                <w:sz w:val="20"/>
              </w:rPr>
              <w:t>2,422</w:t>
            </w:r>
          </w:p>
        </w:tc>
      </w:tr>
      <w:tr>
        <w:tc>
          <w:tcPr>
            <w:tcW w:type="dxa" w:w="1296"/>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#4</w:t>
            </w:r>
          </w:p>
        </w:tc>
        <w:tc>
          <w:tcPr>
            <w:tcW w:type="dxa" w:w="547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color w:val="1A1A2E"/>
                <w:sz w:val="20"/>
              </w:rPr>
              <w:t>The Pepperoni Pizza</w:t>
            </w:r>
          </w:p>
        </w:tc>
        <w:tc>
          <w:tcPr>
            <w:tcW w:type="dxa" w:w="2304"/>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2,418</w:t>
            </w:r>
          </w:p>
        </w:tc>
      </w:tr>
      <w:tr>
        <w:tc>
          <w:tcPr>
            <w:tcW w:type="dxa" w:w="1296"/>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color w:val="1A1A2E"/>
                <w:sz w:val="20"/>
              </w:rPr>
              <w:t>#5</w:t>
            </w:r>
          </w:p>
        </w:tc>
        <w:tc>
          <w:tcPr>
            <w:tcW w:type="dxa" w:w="547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color w:val="1A1A2E"/>
                <w:sz w:val="20"/>
              </w:rPr>
              <w:t>The Thai Chicken Pizza</w:t>
            </w:r>
          </w:p>
        </w:tc>
        <w:tc>
          <w:tcPr>
            <w:tcW w:type="dxa" w:w="2304"/>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color w:val="1A1A2E"/>
                <w:sz w:val="20"/>
              </w:rPr>
              <w:t>2,371</w:t>
            </w:r>
          </w:p>
        </w:tc>
      </w:tr>
    </w:tbl>
    <w:p>
      <w:pPr>
        <w:spacing w:after="200"/>
      </w:pPr>
      <w:r>
        <w:rPr>
          <w:i/>
          <w:color w:val="555555"/>
          <w:sz w:val="21"/>
        </w:rPr>
        <w:t>Note: The top 5 sellers are tightly clustered (2,371–2,453 units), indicating a balanced menu with no single runaway favourite. This means targeted promotions on any of these could easily shift rankings.</w:t>
      </w:r>
    </w:p>
    <w:p>
      <w:pPr>
        <w:spacing w:before="240" w:after="120"/>
      </w:pPr>
      <w:r>
        <w:rPr>
          <w:b/>
          <w:color w:val="1A1A2E"/>
          <w:sz w:val="26"/>
        </w:rPr>
        <w:t>3.2 Bottom 5 Least-Selling Pizzas</w:t>
      </w:r>
    </w:p>
    <w:tbl>
      <w:tblPr>
        <w:tblW w:type="auto" w:w="0"/>
        <w:jc w:val="left"/>
        <w:tblLook w:firstColumn="1" w:firstRow="1" w:lastColumn="0" w:lastRow="0" w:noHBand="0" w:noVBand="1" w:val="04A0"/>
      </w:tblPr>
      <w:tblGrid>
        <w:gridCol w:w="3120"/>
        <w:gridCol w:w="3120"/>
        <w:gridCol w:w="3120"/>
      </w:tblGrid>
      <w:tr>
        <w:tc>
          <w:tcPr>
            <w:tcW w:type="dxa" w:w="1296"/>
            <w:vAlign w:val="center"/>
            <w:shd w:val="clear" w:color="auto" w:fill="C0392B"/>
            <w:tcBorders>
              <w:top w:val="single" w:sz="4" w:space="0" w:color="CCCCCC"/>
              <w:left w:val="single" w:sz="4" w:space="0" w:color="CCCCCC"/>
              <w:bottom w:val="single" w:sz="4" w:space="0" w:color="CCCCCC"/>
              <w:right w:val="single" w:sz="4" w:space="0" w:color="CCCCCC"/>
            </w:tcBorders>
          </w:tcPr>
          <w:p>
            <w:pPr>
              <w:jc w:val="center"/>
            </w:pPr>
            <w:r>
              <w:rPr>
                <w:b/>
                <w:color w:val="FFFFFF"/>
                <w:sz w:val="20"/>
              </w:rPr>
              <w:t>Rank</w:t>
            </w:r>
          </w:p>
        </w:tc>
        <w:tc>
          <w:tcPr>
            <w:tcW w:type="dxa" w:w="5472"/>
            <w:vAlign w:val="center"/>
            <w:shd w:val="clear" w:color="auto" w:fill="C0392B"/>
            <w:tcBorders>
              <w:top w:val="single" w:sz="4" w:space="0" w:color="CCCCCC"/>
              <w:left w:val="single" w:sz="4" w:space="0" w:color="CCCCCC"/>
              <w:bottom w:val="single" w:sz="4" w:space="0" w:color="CCCCCC"/>
              <w:right w:val="single" w:sz="4" w:space="0" w:color="CCCCCC"/>
            </w:tcBorders>
          </w:tcPr>
          <w:p>
            <w:pPr>
              <w:jc w:val="left"/>
            </w:pPr>
            <w:r>
              <w:rPr>
                <w:b/>
                <w:color w:val="FFFFFF"/>
                <w:sz w:val="20"/>
              </w:rPr>
              <w:t>Pizza Name</w:t>
            </w:r>
          </w:p>
        </w:tc>
        <w:tc>
          <w:tcPr>
            <w:tcW w:type="dxa" w:w="2304"/>
            <w:vAlign w:val="center"/>
            <w:shd w:val="clear" w:color="auto" w:fill="C0392B"/>
            <w:tcBorders>
              <w:top w:val="single" w:sz="4" w:space="0" w:color="CCCCCC"/>
              <w:left w:val="single" w:sz="4" w:space="0" w:color="CCCCCC"/>
              <w:bottom w:val="single" w:sz="4" w:space="0" w:color="CCCCCC"/>
              <w:right w:val="single" w:sz="4" w:space="0" w:color="CCCCCC"/>
            </w:tcBorders>
          </w:tcPr>
          <w:p>
            <w:pPr>
              <w:jc w:val="center"/>
            </w:pPr>
            <w:r>
              <w:rPr>
                <w:b/>
                <w:color w:val="FFFFFF"/>
                <w:sz w:val="20"/>
              </w:rPr>
              <w:t>Units Sold</w:t>
            </w:r>
          </w:p>
        </w:tc>
      </w:tr>
      <w:tr>
        <w:tc>
          <w:tcPr>
            <w:tcW w:type="dxa" w:w="1296"/>
            <w:vAlign w:val="center"/>
            <w:shd w:val="clear" w:color="auto" w:fill="FDECEA"/>
            <w:tcBorders>
              <w:top w:val="single" w:sz="4" w:space="0" w:color="CCCCCC"/>
              <w:left w:val="single" w:sz="4" w:space="0" w:color="CCCCCC"/>
              <w:bottom w:val="single" w:sz="4" w:space="0" w:color="CCCCCC"/>
              <w:right w:val="single" w:sz="4" w:space="0" w:color="CCCCCC"/>
            </w:tcBorders>
          </w:tcPr>
          <w:p>
            <w:pPr>
              <w:jc w:val="center"/>
            </w:pPr>
            <w:r>
              <w:rPr>
                <w:color w:val="1A1A2E"/>
                <w:sz w:val="20"/>
              </w:rPr>
              <w:t>Last</w:t>
            </w:r>
          </w:p>
        </w:tc>
        <w:tc>
          <w:tcPr>
            <w:tcW w:type="dxa" w:w="5472"/>
            <w:vAlign w:val="center"/>
            <w:shd w:val="clear" w:color="auto" w:fill="FDECEA"/>
            <w:tcBorders>
              <w:top w:val="single" w:sz="4" w:space="0" w:color="CCCCCC"/>
              <w:left w:val="single" w:sz="4" w:space="0" w:color="CCCCCC"/>
              <w:bottom w:val="single" w:sz="4" w:space="0" w:color="CCCCCC"/>
              <w:right w:val="single" w:sz="4" w:space="0" w:color="CCCCCC"/>
            </w:tcBorders>
          </w:tcPr>
          <w:p>
            <w:pPr>
              <w:jc w:val="left"/>
            </w:pPr>
            <w:r>
              <w:rPr>
                <w:color w:val="1A1A2E"/>
                <w:sz w:val="20"/>
              </w:rPr>
              <w:t>The Brie Carre Pizza</w:t>
            </w:r>
          </w:p>
        </w:tc>
        <w:tc>
          <w:tcPr>
            <w:tcW w:type="dxa" w:w="2304"/>
            <w:vAlign w:val="center"/>
            <w:shd w:val="clear" w:color="auto" w:fill="FDECEA"/>
            <w:tcBorders>
              <w:top w:val="single" w:sz="4" w:space="0" w:color="CCCCCC"/>
              <w:left w:val="single" w:sz="4" w:space="0" w:color="CCCCCC"/>
              <w:bottom w:val="single" w:sz="4" w:space="0" w:color="CCCCCC"/>
              <w:right w:val="single" w:sz="4" w:space="0" w:color="CCCCCC"/>
            </w:tcBorders>
          </w:tcPr>
          <w:p>
            <w:pPr>
              <w:jc w:val="center"/>
            </w:pPr>
            <w:r>
              <w:rPr>
                <w:color w:val="C0392B"/>
                <w:sz w:val="20"/>
              </w:rPr>
              <w:t>490</w:t>
            </w:r>
          </w:p>
        </w:tc>
      </w:tr>
      <w:tr>
        <w:tc>
          <w:tcPr>
            <w:tcW w:type="dxa" w:w="1296"/>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#29</w:t>
            </w:r>
          </w:p>
        </w:tc>
        <w:tc>
          <w:tcPr>
            <w:tcW w:type="dxa" w:w="547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color w:val="1A1A2E"/>
                <w:sz w:val="20"/>
              </w:rPr>
              <w:t>The Mediterranean Pizza</w:t>
            </w:r>
          </w:p>
        </w:tc>
        <w:tc>
          <w:tcPr>
            <w:tcW w:type="dxa" w:w="2304"/>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C0392B"/>
                <w:sz w:val="20"/>
              </w:rPr>
              <w:t>934</w:t>
            </w:r>
          </w:p>
        </w:tc>
      </w:tr>
      <w:tr>
        <w:tc>
          <w:tcPr>
            <w:tcW w:type="dxa" w:w="1296"/>
            <w:vAlign w:val="center"/>
            <w:shd w:val="clear" w:color="auto" w:fill="FDECEA"/>
            <w:tcBorders>
              <w:top w:val="single" w:sz="4" w:space="0" w:color="CCCCCC"/>
              <w:left w:val="single" w:sz="4" w:space="0" w:color="CCCCCC"/>
              <w:bottom w:val="single" w:sz="4" w:space="0" w:color="CCCCCC"/>
              <w:right w:val="single" w:sz="4" w:space="0" w:color="CCCCCC"/>
            </w:tcBorders>
          </w:tcPr>
          <w:p>
            <w:pPr>
              <w:jc w:val="center"/>
            </w:pPr>
            <w:r>
              <w:rPr>
                <w:color w:val="1A1A2E"/>
                <w:sz w:val="20"/>
              </w:rPr>
              <w:t>#28</w:t>
            </w:r>
          </w:p>
        </w:tc>
        <w:tc>
          <w:tcPr>
            <w:tcW w:type="dxa" w:w="5472"/>
            <w:vAlign w:val="center"/>
            <w:shd w:val="clear" w:color="auto" w:fill="FDECEA"/>
            <w:tcBorders>
              <w:top w:val="single" w:sz="4" w:space="0" w:color="CCCCCC"/>
              <w:left w:val="single" w:sz="4" w:space="0" w:color="CCCCCC"/>
              <w:bottom w:val="single" w:sz="4" w:space="0" w:color="CCCCCC"/>
              <w:right w:val="single" w:sz="4" w:space="0" w:color="CCCCCC"/>
            </w:tcBorders>
          </w:tcPr>
          <w:p>
            <w:pPr>
              <w:jc w:val="left"/>
            </w:pPr>
            <w:r>
              <w:rPr>
                <w:color w:val="1A1A2E"/>
                <w:sz w:val="20"/>
              </w:rPr>
              <w:t>The Calabrese Pizza</w:t>
            </w:r>
          </w:p>
        </w:tc>
        <w:tc>
          <w:tcPr>
            <w:tcW w:type="dxa" w:w="2304"/>
            <w:vAlign w:val="center"/>
            <w:shd w:val="clear" w:color="auto" w:fill="FDECEA"/>
            <w:tcBorders>
              <w:top w:val="single" w:sz="4" w:space="0" w:color="CCCCCC"/>
              <w:left w:val="single" w:sz="4" w:space="0" w:color="CCCCCC"/>
              <w:bottom w:val="single" w:sz="4" w:space="0" w:color="CCCCCC"/>
              <w:right w:val="single" w:sz="4" w:space="0" w:color="CCCCCC"/>
            </w:tcBorders>
          </w:tcPr>
          <w:p>
            <w:pPr>
              <w:jc w:val="center"/>
            </w:pPr>
            <w:r>
              <w:rPr>
                <w:color w:val="C0392B"/>
                <w:sz w:val="20"/>
              </w:rPr>
              <w:t>937</w:t>
            </w:r>
          </w:p>
        </w:tc>
      </w:tr>
      <w:tr>
        <w:tc>
          <w:tcPr>
            <w:tcW w:type="dxa" w:w="1296"/>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#27</w:t>
            </w:r>
          </w:p>
        </w:tc>
        <w:tc>
          <w:tcPr>
            <w:tcW w:type="dxa" w:w="547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color w:val="1A1A2E"/>
                <w:sz w:val="20"/>
              </w:rPr>
              <w:t>The Spinach Supreme Pizza</w:t>
            </w:r>
          </w:p>
        </w:tc>
        <w:tc>
          <w:tcPr>
            <w:tcW w:type="dxa" w:w="2304"/>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C0392B"/>
                <w:sz w:val="20"/>
              </w:rPr>
              <w:t>950</w:t>
            </w:r>
          </w:p>
        </w:tc>
      </w:tr>
      <w:tr>
        <w:tc>
          <w:tcPr>
            <w:tcW w:type="dxa" w:w="1296"/>
            <w:vAlign w:val="center"/>
            <w:shd w:val="clear" w:color="auto" w:fill="FDECEA"/>
            <w:tcBorders>
              <w:top w:val="single" w:sz="4" w:space="0" w:color="CCCCCC"/>
              <w:left w:val="single" w:sz="4" w:space="0" w:color="CCCCCC"/>
              <w:bottom w:val="single" w:sz="4" w:space="0" w:color="CCCCCC"/>
              <w:right w:val="single" w:sz="4" w:space="0" w:color="CCCCCC"/>
            </w:tcBorders>
          </w:tcPr>
          <w:p>
            <w:pPr>
              <w:jc w:val="center"/>
            </w:pPr>
            <w:r>
              <w:rPr>
                <w:color w:val="1A1A2E"/>
                <w:sz w:val="20"/>
              </w:rPr>
              <w:t>#26</w:t>
            </w:r>
          </w:p>
        </w:tc>
        <w:tc>
          <w:tcPr>
            <w:tcW w:type="dxa" w:w="5472"/>
            <w:vAlign w:val="center"/>
            <w:shd w:val="clear" w:color="auto" w:fill="FDECEA"/>
            <w:tcBorders>
              <w:top w:val="single" w:sz="4" w:space="0" w:color="CCCCCC"/>
              <w:left w:val="single" w:sz="4" w:space="0" w:color="CCCCCC"/>
              <w:bottom w:val="single" w:sz="4" w:space="0" w:color="CCCCCC"/>
              <w:right w:val="single" w:sz="4" w:space="0" w:color="CCCCCC"/>
            </w:tcBorders>
          </w:tcPr>
          <w:p>
            <w:pPr>
              <w:jc w:val="left"/>
            </w:pPr>
            <w:r>
              <w:rPr>
                <w:color w:val="1A1A2E"/>
                <w:sz w:val="20"/>
              </w:rPr>
              <w:t>The Soppressata Pizza</w:t>
            </w:r>
          </w:p>
        </w:tc>
        <w:tc>
          <w:tcPr>
            <w:tcW w:type="dxa" w:w="2304"/>
            <w:vAlign w:val="center"/>
            <w:shd w:val="clear" w:color="auto" w:fill="FDECEA"/>
            <w:tcBorders>
              <w:top w:val="single" w:sz="4" w:space="0" w:color="CCCCCC"/>
              <w:left w:val="single" w:sz="4" w:space="0" w:color="CCCCCC"/>
              <w:bottom w:val="single" w:sz="4" w:space="0" w:color="CCCCCC"/>
              <w:right w:val="single" w:sz="4" w:space="0" w:color="CCCCCC"/>
            </w:tcBorders>
          </w:tcPr>
          <w:p>
            <w:pPr>
              <w:jc w:val="center"/>
            </w:pPr>
            <w:r>
              <w:rPr>
                <w:color w:val="C0392B"/>
                <w:sz w:val="20"/>
              </w:rPr>
              <w:t>961</w:t>
            </w:r>
          </w:p>
        </w:tc>
      </w:tr>
    </w:tbl>
    <w:p>
      <w:pPr>
        <w:spacing w:after="200"/>
      </w:pPr>
      <w:r>
        <w:rPr>
          <w:i/>
          <w:color w:val="C0392B"/>
          <w:sz w:val="21"/>
        </w:rPr>
        <w:t>Critical finding: The Brie Carre Pizza (490 units) sells ~5× less than the top performer. Immediate review — revamp or discontinue — is recommended.</w:t>
      </w:r>
    </w:p>
    <w:p>
      <w:pPr>
        <w:spacing w:before="240" w:after="120"/>
      </w:pPr>
      <w:r>
        <w:rPr>
          <w:b/>
          <w:color w:val="1A1A2E"/>
          <w:sz w:val="26"/>
        </w:rPr>
        <w:t>3.3 Revenue by Pizza Category</w:t>
      </w:r>
    </w:p>
    <w:tbl>
      <w:tblPr>
        <w:tblW w:type="auto" w:w="0"/>
        <w:jc w:val="left"/>
        <w:tblLook w:firstColumn="1" w:firstRow="1" w:lastColumn="0" w:lastRow="0" w:noHBand="0" w:noVBand="1" w:val="04A0"/>
      </w:tblPr>
      <w:tblGrid>
        <w:gridCol w:w="3120"/>
        <w:gridCol w:w="3120"/>
        <w:gridCol w:w="3120"/>
      </w:tblGrid>
      <w:tr>
        <w:tc>
          <w:tcPr>
            <w:tcW w:type="dxa" w:w="2016"/>
            <w:vAlign w:val="center"/>
            <w:shd w:val="clear" w:color="auto" w:fill="2E862E"/>
            <w:tcBorders>
              <w:top w:val="single" w:sz="4" w:space="0" w:color="CCCCCC"/>
              <w:left w:val="single" w:sz="4" w:space="0" w:color="CCCCCC"/>
              <w:bottom w:val="single" w:sz="4" w:space="0" w:color="CCCCCC"/>
              <w:right w:val="single" w:sz="4" w:space="0" w:color="CCCCCC"/>
            </w:tcBorders>
          </w:tcPr>
          <w:p>
            <w:pPr>
              <w:jc w:val="center"/>
            </w:pPr>
            <w:r>
              <w:rPr>
                <w:b/>
                <w:color w:val="FFFFFF"/>
                <w:sz w:val="20"/>
              </w:rPr>
              <w:t>Category</w:t>
            </w:r>
          </w:p>
        </w:tc>
        <w:tc>
          <w:tcPr>
            <w:tcW w:type="dxa" w:w="2304"/>
            <w:vAlign w:val="center"/>
            <w:shd w:val="clear" w:color="auto" w:fill="2E862E"/>
            <w:tcBorders>
              <w:top w:val="single" w:sz="4" w:space="0" w:color="CCCCCC"/>
              <w:left w:val="single" w:sz="4" w:space="0" w:color="CCCCCC"/>
              <w:bottom w:val="single" w:sz="4" w:space="0" w:color="CCCCCC"/>
              <w:right w:val="single" w:sz="4" w:space="0" w:color="CCCCCC"/>
            </w:tcBorders>
          </w:tcPr>
          <w:p>
            <w:pPr>
              <w:jc w:val="center"/>
            </w:pPr>
            <w:r>
              <w:rPr>
                <w:b/>
                <w:color w:val="FFFFFF"/>
                <w:sz w:val="20"/>
              </w:rPr>
              <w:t>Revenue Share</w:t>
            </w:r>
          </w:p>
        </w:tc>
        <w:tc>
          <w:tcPr>
            <w:tcW w:type="dxa" w:w="6048"/>
            <w:vAlign w:val="center"/>
            <w:shd w:val="clear" w:color="auto" w:fill="2E862E"/>
            <w:tcBorders>
              <w:top w:val="single" w:sz="4" w:space="0" w:color="CCCCCC"/>
              <w:left w:val="single" w:sz="4" w:space="0" w:color="CCCCCC"/>
              <w:bottom w:val="single" w:sz="4" w:space="0" w:color="CCCCCC"/>
              <w:right w:val="single" w:sz="4" w:space="0" w:color="CCCCCC"/>
            </w:tcBorders>
          </w:tcPr>
          <w:p>
            <w:pPr>
              <w:jc w:val="left"/>
            </w:pPr>
            <w:r>
              <w:rPr>
                <w:b/>
                <w:color w:val="FFFFFF"/>
                <w:sz w:val="20"/>
              </w:rPr>
              <w:t>Strategic Note</w:t>
            </w:r>
          </w:p>
        </w:tc>
      </w:tr>
      <w:tr>
        <w:tc>
          <w:tcPr>
            <w:tcW w:type="dxa" w:w="2016"/>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Classic</w:t>
            </w:r>
          </w:p>
        </w:tc>
        <w:tc>
          <w:tcPr>
            <w:tcW w:type="dxa" w:w="2304"/>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26.91%</w:t>
            </w:r>
          </w:p>
        </w:tc>
        <w:tc>
          <w:tcPr>
            <w:tcW w:type="dxa" w:w="6048"/>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color w:val="1A1A2E"/>
                <w:sz w:val="20"/>
              </w:rPr>
              <w:t>Top revenue driver — protect &amp; promote</w:t>
            </w:r>
          </w:p>
        </w:tc>
      </w:tr>
      <w:tr>
        <w:tc>
          <w:tcPr>
            <w:tcW w:type="dxa" w:w="2016"/>
            <w:vAlign w:val="center"/>
            <w:shd w:val="clear" w:color="auto" w:fill="F5F5F5"/>
            <w:tcBorders>
              <w:top w:val="single" w:sz="4" w:space="0" w:color="CCCCCC"/>
              <w:left w:val="single" w:sz="4" w:space="0" w:color="CCCCCC"/>
              <w:bottom w:val="single" w:sz="4" w:space="0" w:color="CCCCCC"/>
              <w:right w:val="single" w:sz="4" w:space="0" w:color="CCCCCC"/>
            </w:tcBorders>
          </w:tcPr>
          <w:p>
            <w:pPr>
              <w:jc w:val="center"/>
            </w:pPr>
            <w:r>
              <w:rPr>
                <w:color w:val="1A1A2E"/>
                <w:sz w:val="20"/>
              </w:rPr>
              <w:t>Supreme</w:t>
            </w:r>
          </w:p>
        </w:tc>
        <w:tc>
          <w:tcPr>
            <w:tcW w:type="dxa" w:w="2304"/>
            <w:vAlign w:val="center"/>
            <w:shd w:val="clear" w:color="auto" w:fill="F5F5F5"/>
            <w:tcBorders>
              <w:top w:val="single" w:sz="4" w:space="0" w:color="CCCCCC"/>
              <w:left w:val="single" w:sz="4" w:space="0" w:color="CCCCCC"/>
              <w:bottom w:val="single" w:sz="4" w:space="0" w:color="CCCCCC"/>
              <w:right w:val="single" w:sz="4" w:space="0" w:color="CCCCCC"/>
            </w:tcBorders>
          </w:tcPr>
          <w:p>
            <w:pPr>
              <w:jc w:val="center"/>
            </w:pPr>
            <w:r>
              <w:rPr>
                <w:color w:val="1A1A2E"/>
                <w:sz w:val="20"/>
              </w:rPr>
              <w:t>25.46%</w:t>
            </w:r>
          </w:p>
        </w:tc>
        <w:tc>
          <w:tcPr>
            <w:tcW w:type="dxa" w:w="6048"/>
            <w:vAlign w:val="center"/>
            <w:shd w:val="clear" w:color="auto" w:fill="F5F5F5"/>
            <w:tcBorders>
              <w:top w:val="single" w:sz="4" w:space="0" w:color="CCCCCC"/>
              <w:left w:val="single" w:sz="4" w:space="0" w:color="CCCCCC"/>
              <w:bottom w:val="single" w:sz="4" w:space="0" w:color="CCCCCC"/>
              <w:right w:val="single" w:sz="4" w:space="0" w:color="CCCCCC"/>
            </w:tcBorders>
          </w:tcPr>
          <w:p>
            <w:pPr>
              <w:jc w:val="left"/>
            </w:pPr>
            <w:r>
              <w:rPr>
                <w:color w:val="1A1A2E"/>
                <w:sz w:val="20"/>
              </w:rPr>
              <w:t>Strong performer — potential for upsell</w:t>
            </w:r>
          </w:p>
        </w:tc>
      </w:tr>
      <w:tr>
        <w:tc>
          <w:tcPr>
            <w:tcW w:type="dxa" w:w="2016"/>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Chicken</w:t>
            </w:r>
          </w:p>
        </w:tc>
        <w:tc>
          <w:tcPr>
            <w:tcW w:type="dxa" w:w="2304"/>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1A1A2E"/>
                <w:sz w:val="20"/>
              </w:rPr>
              <w:t>23.96%</w:t>
            </w:r>
          </w:p>
        </w:tc>
        <w:tc>
          <w:tcPr>
            <w:tcW w:type="dxa" w:w="6048"/>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color w:val="1A1A2E"/>
                <w:sz w:val="20"/>
              </w:rPr>
              <w:t>Solid base — consider combo deals</w:t>
            </w:r>
          </w:p>
        </w:tc>
      </w:tr>
      <w:tr>
        <w:tc>
          <w:tcPr>
            <w:tcW w:type="dxa" w:w="2016"/>
            <w:vAlign w:val="center"/>
            <w:shd w:val="clear" w:color="auto" w:fill="F5F5F5"/>
            <w:tcBorders>
              <w:top w:val="single" w:sz="4" w:space="0" w:color="CCCCCC"/>
              <w:left w:val="single" w:sz="4" w:space="0" w:color="CCCCCC"/>
              <w:bottom w:val="single" w:sz="4" w:space="0" w:color="CCCCCC"/>
              <w:right w:val="single" w:sz="4" w:space="0" w:color="CCCCCC"/>
            </w:tcBorders>
          </w:tcPr>
          <w:p>
            <w:pPr>
              <w:jc w:val="center"/>
            </w:pPr>
            <w:r>
              <w:rPr>
                <w:color w:val="1A1A2E"/>
                <w:sz w:val="20"/>
              </w:rPr>
              <w:t>Veggie</w:t>
            </w:r>
          </w:p>
        </w:tc>
        <w:tc>
          <w:tcPr>
            <w:tcW w:type="dxa" w:w="2304"/>
            <w:vAlign w:val="center"/>
            <w:shd w:val="clear" w:color="auto" w:fill="F5F5F5"/>
            <w:tcBorders>
              <w:top w:val="single" w:sz="4" w:space="0" w:color="CCCCCC"/>
              <w:left w:val="single" w:sz="4" w:space="0" w:color="CCCCCC"/>
              <w:bottom w:val="single" w:sz="4" w:space="0" w:color="CCCCCC"/>
              <w:right w:val="single" w:sz="4" w:space="0" w:color="CCCCCC"/>
            </w:tcBorders>
          </w:tcPr>
          <w:p>
            <w:pPr>
              <w:jc w:val="center"/>
            </w:pPr>
            <w:r>
              <w:rPr>
                <w:color w:val="1A1A2E"/>
                <w:sz w:val="20"/>
              </w:rPr>
              <w:t>23.68%</w:t>
            </w:r>
          </w:p>
        </w:tc>
        <w:tc>
          <w:tcPr>
            <w:tcW w:type="dxa" w:w="6048"/>
            <w:vAlign w:val="center"/>
            <w:shd w:val="clear" w:color="auto" w:fill="F5F5F5"/>
            <w:tcBorders>
              <w:top w:val="single" w:sz="4" w:space="0" w:color="CCCCCC"/>
              <w:left w:val="single" w:sz="4" w:space="0" w:color="CCCCCC"/>
              <w:bottom w:val="single" w:sz="4" w:space="0" w:color="CCCCCC"/>
              <w:right w:val="single" w:sz="4" w:space="0" w:color="CCCCCC"/>
            </w:tcBorders>
          </w:tcPr>
          <w:p>
            <w:pPr>
              <w:jc w:val="left"/>
            </w:pPr>
            <w:r>
              <w:rPr>
                <w:color w:val="1A1A2E"/>
                <w:sz w:val="20"/>
              </w:rPr>
              <w:t>Closely competitive — monitor trends</w:t>
            </w:r>
          </w:p>
        </w:tc>
      </w:tr>
    </w:tbl>
    <w:p>
      <w:pPr>
        <w:spacing w:after="80"/>
      </w:pPr>
    </w:p>
    <w:p>
      <w:pPr>
        <w:spacing w:before="280" w:after="120"/>
      </w:pPr>
      <w:r>
        <w:rPr>
          <w:b/>
          <w:color w:val="2E862E"/>
          <w:sz w:val="36"/>
        </w:rPr>
        <w:t>4. Time-Based Demand Analysis</w:t>
      </w:r>
    </w:p>
    <w:p>
      <w:pPr>
        <w:spacing w:before="240" w:after="120"/>
      </w:pPr>
      <w:r>
        <w:rPr>
          <w:b/>
          <w:color w:val="1A1A2E"/>
          <w:sz w:val="26"/>
        </w:rPr>
        <w:t>4.1 Orders by Hour of Day</w:t>
      </w:r>
    </w:p>
    <w:p>
      <w:pPr>
        <w:spacing w:after="120"/>
      </w:pPr>
      <w:r>
        <w:rPr>
          <w:i w:val="0"/>
          <w:color w:val="555555"/>
          <w:sz w:val="21"/>
        </w:rPr>
        <w:t>Demand follows a clear double-peak pattern throughout the day. The lunch rush (12–1 PM) is the single highest-volume window, peaking at 6,543 orders at noon. A secondary dinner spike occurs at 17–18 hrs (5,143–5,359 orders). Activity is minimal before 11 AM and after 22:00.</w:t>
      </w:r>
    </w:p>
    <w:tbl>
      <w:tblPr>
        <w:tblW w:type="auto" w:w="0"/>
        <w:jc w:val="left"/>
        <w:tblLook w:firstColumn="1" w:firstRow="1" w:lastColumn="0" w:lastRow="0" w:noHBand="0" w:noVBand="1" w:val="04A0"/>
      </w:tblPr>
      <w:tblGrid>
        <w:gridCol w:w="3120"/>
        <w:gridCol w:w="3120"/>
        <w:gridCol w:w="3120"/>
      </w:tblGrid>
      <w:tr>
        <w:tc>
          <w:tcPr>
            <w:tcW w:type="dxa" w:w="1728"/>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19"/>
              </w:rPr>
              <w:t>Hour</w:t>
            </w:r>
          </w:p>
        </w:tc>
        <w:tc>
          <w:tcPr>
            <w:tcW w:type="dxa" w:w="2016"/>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19"/>
              </w:rPr>
              <w:t>Orders</w:t>
            </w:r>
          </w:p>
        </w:tc>
        <w:tc>
          <w:tcPr>
            <w:tcW w:type="dxa" w:w="6768"/>
            <w:vAlign w:val="center"/>
            <w:shd w:val="clear" w:color="auto" w:fill="2E862E"/>
            <w:tcBorders>
              <w:top w:val="single" w:sz="4" w:space="0" w:color="DDDDDD"/>
              <w:left w:val="single" w:sz="4" w:space="0" w:color="DDDDDD"/>
              <w:bottom w:val="single" w:sz="4" w:space="0" w:color="DDDDDD"/>
              <w:right w:val="single" w:sz="4" w:space="0" w:color="DDDDDD"/>
            </w:tcBorders>
          </w:tcPr>
          <w:p>
            <w:pPr>
              <w:jc w:val="left"/>
            </w:pPr>
            <w:r>
              <w:rPr>
                <w:b/>
                <w:color w:val="FFFFFF"/>
                <w:sz w:val="19"/>
              </w:rPr>
              <w:t>Demand Level</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09:00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4</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Very Low</w:t>
            </w:r>
          </w:p>
        </w:tc>
      </w:tr>
      <w:tr>
        <w:tc>
          <w:tcPr>
            <w:tcW w:type="dxa" w:w="1728"/>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10:00</w:t>
            </w:r>
          </w:p>
        </w:tc>
        <w:tc>
          <w:tcPr>
            <w:tcW w:type="dxa" w:w="201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17</w:t>
            </w:r>
          </w:p>
        </w:tc>
        <w:tc>
          <w:tcPr>
            <w:tcW w:type="dxa" w:w="6768"/>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Very Low</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11:00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2,672</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Moderate</w:t>
            </w:r>
          </w:p>
        </w:tc>
      </w:tr>
      <w:tr>
        <w:tc>
          <w:tcPr>
            <w:tcW w:type="dxa" w:w="1728"/>
            <w:vAlign w:val="center"/>
            <w:shd w:val="clear" w:color="auto" w:fill="E8F5E9"/>
            <w:tcBorders>
              <w:top w:val="single" w:sz="4" w:space="0" w:color="DDDDDD"/>
              <w:left w:val="single" w:sz="4" w:space="0" w:color="DDDDDD"/>
              <w:bottom w:val="single" w:sz="4" w:space="0" w:color="DDDDDD"/>
              <w:right w:val="single" w:sz="4" w:space="0" w:color="DDDDDD"/>
            </w:tcBorders>
          </w:tcPr>
          <w:p>
            <w:pPr>
              <w:jc w:val="center"/>
            </w:pPr>
            <w:r>
              <w:rPr>
                <w:b/>
                <w:color w:val="2E862E"/>
                <w:sz w:val="19"/>
              </w:rPr>
              <w:t>12:00</w:t>
            </w:r>
          </w:p>
        </w:tc>
        <w:tc>
          <w:tcPr>
            <w:tcW w:type="dxa" w:w="2016"/>
            <w:vAlign w:val="center"/>
            <w:shd w:val="clear" w:color="auto" w:fill="E8F5E9"/>
            <w:tcBorders>
              <w:top w:val="single" w:sz="4" w:space="0" w:color="DDDDDD"/>
              <w:left w:val="single" w:sz="4" w:space="0" w:color="DDDDDD"/>
              <w:bottom w:val="single" w:sz="4" w:space="0" w:color="DDDDDD"/>
              <w:right w:val="single" w:sz="4" w:space="0" w:color="DDDDDD"/>
            </w:tcBorders>
          </w:tcPr>
          <w:p>
            <w:pPr>
              <w:jc w:val="center"/>
            </w:pPr>
            <w:r>
              <w:rPr>
                <w:b/>
                <w:color w:val="2E862E"/>
                <w:sz w:val="19"/>
              </w:rPr>
              <w:t>6,543</w:t>
            </w:r>
          </w:p>
        </w:tc>
        <w:tc>
          <w:tcPr>
            <w:tcW w:type="dxa" w:w="6768"/>
            <w:vAlign w:val="center"/>
            <w:shd w:val="clear" w:color="auto" w:fill="E8F5E9"/>
            <w:tcBorders>
              <w:top w:val="single" w:sz="4" w:space="0" w:color="DDDDDD"/>
              <w:left w:val="single" w:sz="4" w:space="0" w:color="DDDDDD"/>
              <w:bottom w:val="single" w:sz="4" w:space="0" w:color="DDDDDD"/>
              <w:right w:val="single" w:sz="4" w:space="0" w:color="DDDDDD"/>
            </w:tcBorders>
          </w:tcPr>
          <w:p>
            <w:pPr>
              <w:jc w:val="left"/>
            </w:pPr>
            <w:r>
              <w:rPr>
                <w:b/>
                <w:color w:val="2E862E"/>
                <w:sz w:val="19"/>
              </w:rPr>
              <w:t>🔥 PEAK</w:t>
            </w:r>
          </w:p>
        </w:tc>
      </w:tr>
      <w:tr>
        <w:tc>
          <w:tcPr>
            <w:tcW w:type="dxa" w:w="1728"/>
            <w:vAlign w:val="center"/>
            <w:shd w:val="clear" w:color="auto" w:fill="E8F5E9"/>
            <w:tcBorders>
              <w:top w:val="single" w:sz="4" w:space="0" w:color="DDDDDD"/>
              <w:left w:val="single" w:sz="4" w:space="0" w:color="DDDDDD"/>
              <w:bottom w:val="single" w:sz="4" w:space="0" w:color="DDDDDD"/>
              <w:right w:val="single" w:sz="4" w:space="0" w:color="DDDDDD"/>
            </w:tcBorders>
          </w:tcPr>
          <w:p>
            <w:pPr>
              <w:jc w:val="center"/>
            </w:pPr>
            <w:r>
              <w:rPr>
                <w:b/>
                <w:color w:val="2E862E"/>
                <w:sz w:val="19"/>
              </w:rPr>
              <w:t>13:00</w:t>
            </w:r>
          </w:p>
        </w:tc>
        <w:tc>
          <w:tcPr>
            <w:tcW w:type="dxa" w:w="2016"/>
            <w:vAlign w:val="center"/>
            <w:shd w:val="clear" w:color="auto" w:fill="E8F5E9"/>
            <w:tcBorders>
              <w:top w:val="single" w:sz="4" w:space="0" w:color="DDDDDD"/>
              <w:left w:val="single" w:sz="4" w:space="0" w:color="DDDDDD"/>
              <w:bottom w:val="single" w:sz="4" w:space="0" w:color="DDDDDD"/>
              <w:right w:val="single" w:sz="4" w:space="0" w:color="DDDDDD"/>
            </w:tcBorders>
          </w:tcPr>
          <w:p>
            <w:pPr>
              <w:jc w:val="center"/>
            </w:pPr>
            <w:r>
              <w:rPr>
                <w:b/>
                <w:color w:val="2E862E"/>
                <w:sz w:val="19"/>
              </w:rPr>
              <w:t>6,203</w:t>
            </w:r>
          </w:p>
        </w:tc>
        <w:tc>
          <w:tcPr>
            <w:tcW w:type="dxa" w:w="6768"/>
            <w:vAlign w:val="center"/>
            <w:shd w:val="clear" w:color="auto" w:fill="E8F5E9"/>
            <w:tcBorders>
              <w:top w:val="single" w:sz="4" w:space="0" w:color="DDDDDD"/>
              <w:left w:val="single" w:sz="4" w:space="0" w:color="DDDDDD"/>
              <w:bottom w:val="single" w:sz="4" w:space="0" w:color="DDDDDD"/>
              <w:right w:val="single" w:sz="4" w:space="0" w:color="DDDDDD"/>
            </w:tcBorders>
          </w:tcPr>
          <w:p>
            <w:pPr>
              <w:jc w:val="left"/>
            </w:pPr>
            <w:r>
              <w:rPr>
                <w:b/>
                <w:color w:val="2E862E"/>
                <w:sz w:val="19"/>
              </w:rPr>
              <w:t>🔥 High</w:t>
            </w:r>
          </w:p>
        </w:tc>
      </w:tr>
      <w:tr>
        <w:tc>
          <w:tcPr>
            <w:tcW w:type="dxa" w:w="1728"/>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14:00</w:t>
            </w:r>
          </w:p>
        </w:tc>
        <w:tc>
          <w:tcPr>
            <w:tcW w:type="dxa" w:w="201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3,521</w:t>
            </w:r>
          </w:p>
        </w:tc>
        <w:tc>
          <w:tcPr>
            <w:tcW w:type="dxa" w:w="6768"/>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Moderate</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15:00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3,170</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Moderate</w:t>
            </w:r>
          </w:p>
        </w:tc>
      </w:tr>
      <w:tr>
        <w:tc>
          <w:tcPr>
            <w:tcW w:type="dxa" w:w="1728"/>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16:00</w:t>
            </w:r>
          </w:p>
        </w:tc>
        <w:tc>
          <w:tcPr>
            <w:tcW w:type="dxa" w:w="201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4,185</w:t>
            </w:r>
          </w:p>
        </w:tc>
        <w:tc>
          <w:tcPr>
            <w:tcW w:type="dxa" w:w="6768"/>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Moderate-High</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17:00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5,143</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High</w:t>
            </w:r>
          </w:p>
        </w:tc>
      </w:tr>
      <w:tr>
        <w:tc>
          <w:tcPr>
            <w:tcW w:type="dxa" w:w="1728"/>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18:00</w:t>
            </w:r>
          </w:p>
        </w:tc>
        <w:tc>
          <w:tcPr>
            <w:tcW w:type="dxa" w:w="201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5,359</w:t>
            </w:r>
          </w:p>
        </w:tc>
        <w:tc>
          <w:tcPr>
            <w:tcW w:type="dxa" w:w="6768"/>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High</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19:00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4,350</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Moderate-High</w:t>
            </w:r>
          </w:p>
        </w:tc>
      </w:tr>
      <w:tr>
        <w:tc>
          <w:tcPr>
            <w:tcW w:type="dxa" w:w="1728"/>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20:00</w:t>
            </w:r>
          </w:p>
        </w:tc>
        <w:tc>
          <w:tcPr>
            <w:tcW w:type="dxa" w:w="201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3,487</w:t>
            </w:r>
          </w:p>
        </w:tc>
        <w:tc>
          <w:tcPr>
            <w:tcW w:type="dxa" w:w="6768"/>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Moderate</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21:00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2,528</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Low</w:t>
            </w:r>
          </w:p>
        </w:tc>
      </w:tr>
      <w:tr>
        <w:tc>
          <w:tcPr>
            <w:tcW w:type="dxa" w:w="1728"/>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22:00</w:t>
            </w:r>
          </w:p>
        </w:tc>
        <w:tc>
          <w:tcPr>
            <w:tcW w:type="dxa" w:w="2016"/>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1,370</w:t>
            </w:r>
          </w:p>
        </w:tc>
        <w:tc>
          <w:tcPr>
            <w:tcW w:type="dxa" w:w="6768"/>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Low</w:t>
            </w:r>
          </w:p>
        </w:tc>
      </w:tr>
      <w:tr>
        <w:tc>
          <w:tcPr>
            <w:tcW w:type="dxa" w:w="1728"/>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23:00</w:t>
            </w:r>
          </w:p>
        </w:tc>
        <w:tc>
          <w:tcPr>
            <w:tcW w:type="dxa" w:w="2016"/>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68</w:t>
            </w:r>
          </w:p>
        </w:tc>
        <w:tc>
          <w:tcPr>
            <w:tcW w:type="dxa" w:w="6768"/>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Very Low</w:t>
            </w:r>
          </w:p>
        </w:tc>
      </w:tr>
    </w:tbl>
    <w:p>
      <w:pPr>
        <w:spacing w:after="120"/>
      </w:pPr>
    </w:p>
    <w:p>
      <w:pPr>
        <w:spacing w:before="240" w:after="120"/>
      </w:pPr>
      <w:r>
        <w:rPr>
          <w:b/>
          <w:color w:val="1A1A2E"/>
          <w:sz w:val="26"/>
        </w:rPr>
        <w:t>4.2 Orders by Day of Week</w:t>
      </w:r>
    </w:p>
    <w:p>
      <w:pPr>
        <w:spacing w:after="120"/>
      </w:pPr>
      <w:r>
        <w:rPr>
          <w:i w:val="0"/>
          <w:color w:val="555555"/>
          <w:sz w:val="21"/>
        </w:rPr>
        <w:t>Friday is the highest-volume day, followed closely by Saturday. Sunday is the weakest.</w:t>
      </w:r>
    </w:p>
    <w:tbl>
      <w:tblPr>
        <w:tblW w:type="auto" w:w="0"/>
        <w:jc w:val="left"/>
        <w:tblLook w:firstColumn="1" w:firstRow="1" w:lastColumn="0" w:lastRow="0" w:noHBand="0" w:noVBand="1" w:val="04A0"/>
      </w:tblPr>
      <w:tblGrid>
        <w:gridCol w:w="2340"/>
        <w:gridCol w:w="2340"/>
        <w:gridCol w:w="2340"/>
        <w:gridCol w:w="2340"/>
      </w:tblGrid>
      <w:tr>
        <w:tc>
          <w:tcPr>
            <w:tcW w:type="dxa" w:w="1872"/>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19"/>
              </w:rPr>
              <w:t>Day</w:t>
            </w:r>
          </w:p>
        </w:tc>
        <w:tc>
          <w:tcPr>
            <w:tcW w:type="dxa" w:w="1584"/>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19"/>
              </w:rPr>
              <w:t>Orders</w:t>
            </w:r>
          </w:p>
        </w:tc>
        <w:tc>
          <w:tcPr>
            <w:tcW w:type="dxa" w:w="2160"/>
            <w:vAlign w:val="center"/>
            <w:shd w:val="clear" w:color="auto" w:fill="2E862E"/>
            <w:tcBorders>
              <w:top w:val="single" w:sz="4" w:space="0" w:color="DDDDDD"/>
              <w:left w:val="single" w:sz="4" w:space="0" w:color="DDDDDD"/>
              <w:bottom w:val="single" w:sz="4" w:space="0" w:color="DDDDDD"/>
              <w:right w:val="single" w:sz="4" w:space="0" w:color="DDDDDD"/>
            </w:tcBorders>
          </w:tcPr>
          <w:p>
            <w:pPr>
              <w:jc w:val="center"/>
            </w:pPr>
            <w:r>
              <w:rPr>
                <w:b/>
                <w:color w:val="FFFFFF"/>
                <w:sz w:val="19"/>
              </w:rPr>
              <w:t>vs. Weekly Avg</w:t>
            </w:r>
          </w:p>
        </w:tc>
        <w:tc>
          <w:tcPr>
            <w:tcW w:type="dxa" w:w="4896"/>
            <w:vAlign w:val="center"/>
            <w:shd w:val="clear" w:color="auto" w:fill="2E862E"/>
            <w:tcBorders>
              <w:top w:val="single" w:sz="4" w:space="0" w:color="DDDDDD"/>
              <w:left w:val="single" w:sz="4" w:space="0" w:color="DDDDDD"/>
              <w:bottom w:val="single" w:sz="4" w:space="0" w:color="DDDDDD"/>
              <w:right w:val="single" w:sz="4" w:space="0" w:color="DDDDDD"/>
            </w:tcBorders>
          </w:tcPr>
          <w:p>
            <w:pPr>
              <w:jc w:val="left"/>
            </w:pPr>
            <w:r>
              <w:rPr>
                <w:b/>
                <w:color w:val="FFFFFF"/>
                <w:sz w:val="19"/>
              </w:rPr>
              <w:t>Recommendation</w:t>
            </w:r>
          </w:p>
        </w:tc>
      </w:tr>
      <w:tr>
        <w:tc>
          <w:tcPr>
            <w:tcW w:type="dxa" w:w="1872"/>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Sunday</w:t>
            </w:r>
          </w:p>
        </w:tc>
        <w:tc>
          <w:tcPr>
            <w:tcW w:type="dxa" w:w="1584"/>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5,917</w:t>
            </w:r>
          </w:p>
        </w:tc>
        <w:tc>
          <w:tcPr>
            <w:tcW w:type="dxa" w:w="2160"/>
            <w:vAlign w:val="center"/>
            <w:shd w:val="clear" w:color="auto" w:fill="FDECEA"/>
            <w:tcBorders>
              <w:top w:val="single" w:sz="4" w:space="0" w:color="DDDDDD"/>
              <w:left w:val="single" w:sz="4" w:space="0" w:color="DDDDDD"/>
              <w:bottom w:val="single" w:sz="4" w:space="0" w:color="DDDDDD"/>
              <w:right w:val="single" w:sz="4" w:space="0" w:color="DDDDDD"/>
            </w:tcBorders>
          </w:tcPr>
          <w:p>
            <w:pPr>
              <w:jc w:val="center"/>
            </w:pPr>
            <w:r>
              <w:rPr>
                <w:color w:val="C0392B"/>
                <w:sz w:val="19"/>
              </w:rPr>
              <w:t>−15%</w:t>
            </w:r>
          </w:p>
        </w:tc>
        <w:tc>
          <w:tcPr>
            <w:tcW w:type="dxa" w:w="4896"/>
            <w:vAlign w:val="center"/>
            <w:shd w:val="clear" w:color="auto" w:fill="FDECEA"/>
            <w:tcBorders>
              <w:top w:val="single" w:sz="4" w:space="0" w:color="DDDDDD"/>
              <w:left w:val="single" w:sz="4" w:space="0" w:color="DDDDDD"/>
              <w:bottom w:val="single" w:sz="4" w:space="0" w:color="DDDDDD"/>
              <w:right w:val="single" w:sz="4" w:space="0" w:color="DDDDDD"/>
            </w:tcBorders>
          </w:tcPr>
          <w:p>
            <w:pPr>
              <w:jc w:val="left"/>
            </w:pPr>
            <w:r>
              <w:rPr>
                <w:color w:val="C0392B"/>
                <w:sz w:val="19"/>
              </w:rPr>
              <w:t>⚠ Needs promo</w:t>
            </w:r>
          </w:p>
        </w:tc>
      </w:tr>
      <w:tr>
        <w:tc>
          <w:tcPr>
            <w:tcW w:type="dxa" w:w="1872"/>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Monday</w:t>
            </w:r>
          </w:p>
        </w:tc>
        <w:tc>
          <w:tcPr>
            <w:tcW w:type="dxa" w:w="1584"/>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6,369</w:t>
            </w:r>
          </w:p>
        </w:tc>
        <w:tc>
          <w:tcPr>
            <w:tcW w:type="dxa" w:w="2160"/>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−8%</w:t>
            </w:r>
          </w:p>
        </w:tc>
        <w:tc>
          <w:tcPr>
            <w:tcW w:type="dxa" w:w="4896"/>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Stable</w:t>
            </w:r>
          </w:p>
        </w:tc>
      </w:tr>
      <w:tr>
        <w:tc>
          <w:tcPr>
            <w:tcW w:type="dxa" w:w="1872"/>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Tuesday</w:t>
            </w:r>
          </w:p>
        </w:tc>
        <w:tc>
          <w:tcPr>
            <w:tcW w:type="dxa" w:w="1584"/>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6,753</w:t>
            </w:r>
          </w:p>
        </w:tc>
        <w:tc>
          <w:tcPr>
            <w:tcW w:type="dxa" w:w="2160"/>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−2%</w:t>
            </w:r>
          </w:p>
        </w:tc>
        <w:tc>
          <w:tcPr>
            <w:tcW w:type="dxa" w:w="4896"/>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Stable</w:t>
            </w:r>
          </w:p>
        </w:tc>
      </w:tr>
      <w:tr>
        <w:tc>
          <w:tcPr>
            <w:tcW w:type="dxa" w:w="1872"/>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Wednesday</w:t>
            </w:r>
          </w:p>
        </w:tc>
        <w:tc>
          <w:tcPr>
            <w:tcW w:type="dxa" w:w="1584"/>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6,797</w:t>
            </w:r>
          </w:p>
        </w:tc>
        <w:tc>
          <w:tcPr>
            <w:tcW w:type="dxa" w:w="2160"/>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−1%</w:t>
            </w:r>
          </w:p>
        </w:tc>
        <w:tc>
          <w:tcPr>
            <w:tcW w:type="dxa" w:w="4896"/>
            <w:vAlign w:val="center"/>
            <w:shd w:val="clear" w:color="auto" w:fill="F5F5F5"/>
            <w:tcBorders>
              <w:top w:val="single" w:sz="4" w:space="0" w:color="DDDDDD"/>
              <w:left w:val="single" w:sz="4" w:space="0" w:color="DDDDDD"/>
              <w:bottom w:val="single" w:sz="4" w:space="0" w:color="DDDDDD"/>
              <w:right w:val="single" w:sz="4" w:space="0" w:color="DDDDDD"/>
            </w:tcBorders>
          </w:tcPr>
          <w:p>
            <w:pPr>
              <w:jc w:val="left"/>
            </w:pPr>
            <w:r>
              <w:rPr>
                <w:color w:val="1A1A2E"/>
                <w:sz w:val="19"/>
              </w:rPr>
              <w:t>Stable</w:t>
            </w:r>
          </w:p>
        </w:tc>
      </w:tr>
      <w:tr>
        <w:tc>
          <w:tcPr>
            <w:tcW w:type="dxa" w:w="1872"/>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Thursday</w:t>
            </w:r>
          </w:p>
        </w:tc>
        <w:tc>
          <w:tcPr>
            <w:tcW w:type="dxa" w:w="1584"/>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7,323</w:t>
            </w:r>
          </w:p>
        </w:tc>
        <w:tc>
          <w:tcPr>
            <w:tcW w:type="dxa" w:w="2160"/>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+6%</w:t>
            </w:r>
          </w:p>
        </w:tc>
        <w:tc>
          <w:tcPr>
            <w:tcW w:type="dxa" w:w="4896"/>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Good</w:t>
            </w:r>
          </w:p>
        </w:tc>
      </w:tr>
      <w:tr>
        <w:tc>
          <w:tcPr>
            <w:tcW w:type="dxa" w:w="1872"/>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Friday</w:t>
            </w:r>
          </w:p>
        </w:tc>
        <w:tc>
          <w:tcPr>
            <w:tcW w:type="dxa" w:w="1584"/>
            <w:vAlign w:val="center"/>
            <w:shd w:val="clear" w:color="auto" w:fill="F5F5F5"/>
            <w:tcBorders>
              <w:top w:val="single" w:sz="4" w:space="0" w:color="DDDDDD"/>
              <w:left w:val="single" w:sz="4" w:space="0" w:color="DDDDDD"/>
              <w:bottom w:val="single" w:sz="4" w:space="0" w:color="DDDDDD"/>
              <w:right w:val="single" w:sz="4" w:space="0" w:color="DDDDDD"/>
            </w:tcBorders>
          </w:tcPr>
          <w:p>
            <w:pPr>
              <w:jc w:val="center"/>
            </w:pPr>
            <w:r>
              <w:rPr>
                <w:color w:val="1A1A2E"/>
                <w:sz w:val="19"/>
              </w:rPr>
              <w:t>8,106</w:t>
            </w:r>
          </w:p>
        </w:tc>
        <w:tc>
          <w:tcPr>
            <w:tcW w:type="dxa" w:w="2160"/>
            <w:vAlign w:val="center"/>
            <w:shd w:val="clear" w:color="auto" w:fill="E8F5E9"/>
            <w:tcBorders>
              <w:top w:val="single" w:sz="4" w:space="0" w:color="DDDDDD"/>
              <w:left w:val="single" w:sz="4" w:space="0" w:color="DDDDDD"/>
              <w:bottom w:val="single" w:sz="4" w:space="0" w:color="DDDDDD"/>
              <w:right w:val="single" w:sz="4" w:space="0" w:color="DDDDDD"/>
            </w:tcBorders>
          </w:tcPr>
          <w:p>
            <w:pPr>
              <w:jc w:val="center"/>
            </w:pPr>
            <w:r>
              <w:rPr>
                <w:b/>
                <w:color w:val="2E862E"/>
                <w:sz w:val="19"/>
              </w:rPr>
              <w:t>+17%</w:t>
            </w:r>
          </w:p>
        </w:tc>
        <w:tc>
          <w:tcPr>
            <w:tcW w:type="dxa" w:w="4896"/>
            <w:vAlign w:val="center"/>
            <w:shd w:val="clear" w:color="auto" w:fill="E8F5E9"/>
            <w:tcBorders>
              <w:top w:val="single" w:sz="4" w:space="0" w:color="DDDDDD"/>
              <w:left w:val="single" w:sz="4" w:space="0" w:color="DDDDDD"/>
              <w:bottom w:val="single" w:sz="4" w:space="0" w:color="DDDDDD"/>
              <w:right w:val="single" w:sz="4" w:space="0" w:color="DDDDDD"/>
            </w:tcBorders>
          </w:tcPr>
          <w:p>
            <w:pPr>
              <w:jc w:val="left"/>
            </w:pPr>
            <w:r>
              <w:rPr>
                <w:b/>
                <w:color w:val="2E862E"/>
                <w:sz w:val="19"/>
              </w:rPr>
              <w:t>🔥 Peak day</w:t>
            </w:r>
          </w:p>
        </w:tc>
      </w:tr>
      <w:tr>
        <w:tc>
          <w:tcPr>
            <w:tcW w:type="dxa" w:w="1872"/>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Saturday</w:t>
            </w:r>
          </w:p>
        </w:tc>
        <w:tc>
          <w:tcPr>
            <w:tcW w:type="dxa" w:w="1584"/>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7,355</w:t>
            </w:r>
          </w:p>
        </w:tc>
        <w:tc>
          <w:tcPr>
            <w:tcW w:type="dxa" w:w="2160"/>
            <w:vAlign w:val="center"/>
            <w:shd w:val="clear" w:color="auto" w:fill="FFFFFF"/>
            <w:tcBorders>
              <w:top w:val="single" w:sz="4" w:space="0" w:color="DDDDDD"/>
              <w:left w:val="single" w:sz="4" w:space="0" w:color="DDDDDD"/>
              <w:bottom w:val="single" w:sz="4" w:space="0" w:color="DDDDDD"/>
              <w:right w:val="single" w:sz="4" w:space="0" w:color="DDDDDD"/>
            </w:tcBorders>
          </w:tcPr>
          <w:p>
            <w:pPr>
              <w:jc w:val="center"/>
            </w:pPr>
            <w:r>
              <w:rPr>
                <w:color w:val="1A1A2E"/>
                <w:sz w:val="19"/>
              </w:rPr>
              <w:t>+6%</w:t>
            </w:r>
          </w:p>
        </w:tc>
        <w:tc>
          <w:tcPr>
            <w:tcW w:type="dxa" w:w="4896"/>
            <w:vAlign w:val="center"/>
            <w:shd w:val="clear" w:color="auto" w:fill="FFFFFF"/>
            <w:tcBorders>
              <w:top w:val="single" w:sz="4" w:space="0" w:color="DDDDDD"/>
              <w:left w:val="single" w:sz="4" w:space="0" w:color="DDDDDD"/>
              <w:bottom w:val="single" w:sz="4" w:space="0" w:color="DDDDDD"/>
              <w:right w:val="single" w:sz="4" w:space="0" w:color="DDDDDD"/>
            </w:tcBorders>
          </w:tcPr>
          <w:p>
            <w:pPr>
              <w:jc w:val="left"/>
            </w:pPr>
            <w:r>
              <w:rPr>
                <w:color w:val="1A1A2E"/>
                <w:sz w:val="19"/>
              </w:rPr>
              <w:t>Strong</w:t>
            </w:r>
          </w:p>
        </w:tc>
      </w:tr>
    </w:tbl>
    <w:p>
      <w:pPr>
        <w:spacing w:after="120"/>
      </w:pPr>
    </w:p>
    <w:p>
      <w:pPr>
        <w:spacing w:before="280" w:after="120"/>
      </w:pPr>
      <w:r>
        <w:rPr>
          <w:b/>
          <w:color w:val="2E862E"/>
          <w:sz w:val="36"/>
        </w:rPr>
        <w:t>5. Strategic Recommendations</w:t>
      </w:r>
    </w:p>
    <w:tbl>
      <w:tblPr>
        <w:tblW w:type="auto" w:w="0"/>
        <w:jc w:val="left"/>
        <w:tblLook w:firstColumn="1" w:firstRow="1" w:lastColumn="0" w:lastRow="0" w:noHBand="0" w:noVBand="1" w:val="04A0"/>
      </w:tblPr>
      <w:tblGrid>
        <w:gridCol w:w="3120"/>
        <w:gridCol w:w="3120"/>
        <w:gridCol w:w="3120"/>
      </w:tblGrid>
      <w:tr>
        <w:tc>
          <w:tcPr>
            <w:tcW w:type="dxa" w:w="720"/>
            <w:shd w:val="clear" w:color="auto" w:fill="1A1A2E"/>
            <w:tcBorders>
              <w:top w:val="single" w:sz="4" w:space="0" w:color="AAAAAA"/>
              <w:left w:val="single" w:sz="4" w:space="0" w:color="AAAAAA"/>
              <w:bottom w:val="single" w:sz="4" w:space="0" w:color="AAAAAA"/>
              <w:right w:val="single" w:sz="4" w:space="0" w:color="AAAAAA"/>
            </w:tcBorders>
          </w:tcPr>
          <w:p>
            <w:pPr>
              <w:jc w:val="center"/>
            </w:pPr>
            <w:r>
              <w:rPr>
                <w:b/>
                <w:color w:val="FFFFFF"/>
                <w:sz w:val="20"/>
              </w:rPr>
              <w:t>ID</w:t>
            </w:r>
          </w:p>
        </w:tc>
        <w:tc>
          <w:tcPr>
            <w:tcW w:type="dxa" w:w="3312"/>
            <w:shd w:val="clear" w:color="auto" w:fill="1A1A2E"/>
            <w:tcBorders>
              <w:top w:val="single" w:sz="4" w:space="0" w:color="AAAAAA"/>
              <w:left w:val="single" w:sz="4" w:space="0" w:color="AAAAAA"/>
              <w:bottom w:val="single" w:sz="4" w:space="0" w:color="AAAAAA"/>
              <w:right w:val="single" w:sz="4" w:space="0" w:color="AAAAAA"/>
            </w:tcBorders>
          </w:tcPr>
          <w:p>
            <w:pPr>
              <w:jc w:val="center"/>
            </w:pPr>
            <w:r>
              <w:rPr>
                <w:b/>
                <w:color w:val="FFFFFF"/>
                <w:sz w:val="20"/>
              </w:rPr>
              <w:t>Recommendation</w:t>
            </w:r>
          </w:p>
        </w:tc>
        <w:tc>
          <w:tcPr>
            <w:tcW w:type="dxa" w:w="6480"/>
            <w:shd w:val="clear" w:color="auto" w:fill="1A1A2E"/>
            <w:tcBorders>
              <w:top w:val="single" w:sz="4" w:space="0" w:color="AAAAAA"/>
              <w:left w:val="single" w:sz="4" w:space="0" w:color="AAAAAA"/>
              <w:bottom w:val="single" w:sz="4" w:space="0" w:color="AAAAAA"/>
              <w:right w:val="single" w:sz="4" w:space="0" w:color="AAAAAA"/>
            </w:tcBorders>
          </w:tcPr>
          <w:p>
            <w:pPr>
              <w:jc w:val="center"/>
            </w:pPr>
            <w:r>
              <w:rPr>
                <w:b/>
                <w:color w:val="FFFFFF"/>
                <w:sz w:val="20"/>
              </w:rPr>
              <w:t>Detail</w:t>
            </w:r>
          </w:p>
        </w:tc>
      </w:tr>
      <w:tr>
        <w:tc>
          <w:tcPr>
            <w:tcW w:type="dxa" w:w="720"/>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b/>
                <w:color w:val="2E862E"/>
                <w:sz w:val="19"/>
              </w:rPr>
              <w:t>R1</w:t>
            </w:r>
          </w:p>
        </w:tc>
        <w:tc>
          <w:tcPr>
            <w:tcW w:type="dxa" w:w="331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color w:val="1A1A2E"/>
                <w:sz w:val="19"/>
              </w:rPr>
              <w:t>Maximise Lunch Rush (12–1 PM)</w:t>
            </w:r>
          </w:p>
        </w:tc>
        <w:tc>
          <w:tcPr>
            <w:tcW w:type="dxa" w:w="6480"/>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Staff up fully during the 12–13 hr window. Pre-prep top-5 pizzas before noon. Consider a "Lunch Deal" bundle to lift average order value further.</w:t>
            </w:r>
          </w:p>
        </w:tc>
      </w:tr>
      <w:tr>
        <w:tc>
          <w:tcPr>
            <w:tcW w:type="dxa" w:w="720"/>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2E862E"/>
                <w:sz w:val="19"/>
              </w:rPr>
              <w:t>R2</w:t>
            </w:r>
          </w:p>
        </w:tc>
        <w:tc>
          <w:tcPr>
            <w:tcW w:type="dxa" w:w="331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A1A2E"/>
                <w:sz w:val="19"/>
              </w:rPr>
              <w:t>Target Dinner Window (17–18 hrs)</w:t>
            </w:r>
          </w:p>
        </w:tc>
        <w:tc>
          <w:tcPr>
            <w:tcW w:type="dxa" w:w="6480"/>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Launch a dinner promo campaign for the 17–19 hr bracket. "Dinner for 2" combos or free delivery can convert moderate demand to high.</w:t>
            </w:r>
          </w:p>
        </w:tc>
      </w:tr>
      <w:tr>
        <w:tc>
          <w:tcPr>
            <w:tcW w:type="dxa" w:w="720"/>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b/>
                <w:color w:val="2E862E"/>
                <w:sz w:val="19"/>
              </w:rPr>
              <w:t>R3</w:t>
            </w:r>
          </w:p>
        </w:tc>
        <w:tc>
          <w:tcPr>
            <w:tcW w:type="dxa" w:w="331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color w:val="1A1A2E"/>
                <w:sz w:val="19"/>
              </w:rPr>
              <w:t>Activate Sunday with a Special</w:t>
            </w:r>
          </w:p>
        </w:tc>
        <w:tc>
          <w:tcPr>
            <w:tcW w:type="dxa" w:w="6480"/>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Sunday is 15% below weekly average. A "Sunday Special" — discounted combo, loyalty points multiplier, or free side — can meaningfully shift this.</w:t>
            </w:r>
          </w:p>
        </w:tc>
      </w:tr>
      <w:tr>
        <w:tc>
          <w:tcPr>
            <w:tcW w:type="dxa" w:w="720"/>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2E862E"/>
                <w:sz w:val="19"/>
              </w:rPr>
              <w:t>R4</w:t>
            </w:r>
          </w:p>
        </w:tc>
        <w:tc>
          <w:tcPr>
            <w:tcW w:type="dxa" w:w="331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A1A2E"/>
                <w:sz w:val="19"/>
              </w:rPr>
              <w:t>Leverage Friday–Saturday Peak</w:t>
            </w:r>
          </w:p>
        </w:tc>
        <w:tc>
          <w:tcPr>
            <w:tcW w:type="dxa" w:w="6480"/>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Weekend footfall is highest. Introduce limited-edition weekend pizzas or combo deals exclusively for Fri–Sat to maximise revenue per visit.</w:t>
            </w:r>
          </w:p>
        </w:tc>
      </w:tr>
      <w:tr>
        <w:tc>
          <w:tcPr>
            <w:tcW w:type="dxa" w:w="720"/>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b/>
                <w:color w:val="2E862E"/>
                <w:sz w:val="19"/>
              </w:rPr>
              <w:t>R5</w:t>
            </w:r>
          </w:p>
        </w:tc>
        <w:tc>
          <w:tcPr>
            <w:tcW w:type="dxa" w:w="331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color w:val="1A1A2E"/>
                <w:sz w:val="19"/>
              </w:rPr>
              <w:t>Review Brie Carre Pizza</w:t>
            </w:r>
          </w:p>
        </w:tc>
        <w:tc>
          <w:tcPr>
            <w:tcW w:type="dxa" w:w="6480"/>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At 490 units — ~5× below the top seller — this item is dragging menu efficiency. Options: rebrand with a new recipe, run a targeted promotion, or remove from the menu.</w:t>
            </w:r>
          </w:p>
        </w:tc>
      </w:tr>
      <w:tr>
        <w:tc>
          <w:tcPr>
            <w:tcW w:type="dxa" w:w="720"/>
            <w:vAlign w:val="center"/>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2E862E"/>
                <w:sz w:val="19"/>
              </w:rPr>
              <w:t>R6</w:t>
            </w:r>
          </w:p>
        </w:tc>
        <w:tc>
          <w:tcPr>
            <w:tcW w:type="dxa" w:w="3312"/>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A1A2E"/>
                <w:sz w:val="19"/>
              </w:rPr>
              <w:t>Promote Top-5 Evenly (Rotation Strategy)</w:t>
            </w:r>
          </w:p>
        </w:tc>
        <w:tc>
          <w:tcPr>
            <w:tcW w:type="dxa" w:w="6480"/>
            <w:vAlign w:val="center"/>
            <w:shd w:val="clear" w:color="auto" w:fill="FFFFFF"/>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The top-5 are within 82 units of each other. Running weekly "Featured Pizza" promotions across all five will deepen customer familiarity and drive repeat orders.</w:t>
            </w:r>
          </w:p>
        </w:tc>
      </w:tr>
      <w:tr>
        <w:tc>
          <w:tcPr>
            <w:tcW w:type="dxa" w:w="720"/>
            <w:vAlign w:val="center"/>
            <w:shd w:val="clear" w:color="auto" w:fill="E8F5E9"/>
            <w:tcBorders>
              <w:top w:val="single" w:sz="4" w:space="0" w:color="CCCCCC"/>
              <w:left w:val="single" w:sz="4" w:space="0" w:color="CCCCCC"/>
              <w:bottom w:val="single" w:sz="4" w:space="0" w:color="CCCCCC"/>
              <w:right w:val="single" w:sz="4" w:space="0" w:color="CCCCCC"/>
            </w:tcBorders>
          </w:tcPr>
          <w:p>
            <w:pPr>
              <w:jc w:val="center"/>
            </w:pPr>
            <w:r>
              <w:rPr>
                <w:b/>
                <w:color w:val="2E862E"/>
                <w:sz w:val="19"/>
              </w:rPr>
              <w:t>R7</w:t>
            </w:r>
          </w:p>
        </w:tc>
        <w:tc>
          <w:tcPr>
            <w:tcW w:type="dxa" w:w="3312"/>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color w:val="1A1A2E"/>
                <w:sz w:val="19"/>
              </w:rPr>
              <w:t>Upsell to Protect Revenue Quality</w:t>
            </w:r>
          </w:p>
        </w:tc>
        <w:tc>
          <w:tcPr>
            <w:tcW w:type="dxa" w:w="6480"/>
            <w:vAlign w:val="center"/>
            <w:shd w:val="clear" w:color="auto" w:fill="E8F5E9"/>
            <w:tcBorders>
              <w:top w:val="single" w:sz="4" w:space="0" w:color="CCCCCC"/>
              <w:left w:val="single" w:sz="4" w:space="0" w:color="CCCCCC"/>
              <w:bottom w:val="single" w:sz="4" w:space="0" w:color="CCCCCC"/>
              <w:right w:val="single" w:sz="4" w:space="0" w:color="CCCCCC"/>
            </w:tcBorders>
          </w:tcPr>
          <w:p>
            <w:pPr>
              <w:jc w:val="left"/>
            </w:pPr>
            <w:r>
              <w:rPr>
                <w:b w:val="0"/>
                <w:color w:val="555555"/>
                <w:sz w:val="19"/>
              </w:rPr>
              <w:t>Revenue (+12%) outpacing orders (+8%) with units down (−3%) signals customers are ordering pricier items. Reinforce this with upsell prompts at checkout for premium sizes (XL/XXL) and add-ons.</w:t>
            </w:r>
          </w:p>
        </w:tc>
      </w:tr>
    </w:tbl>
    <w:p>
      <w:pPr>
        <w:spacing w:after="120"/>
      </w:pPr>
    </w:p>
    <w:p>
      <w:pPr>
        <w:spacing w:before="280" w:after="120"/>
      </w:pPr>
      <w:r>
        <w:rPr>
          <w:b/>
          <w:color w:val="2E862E"/>
          <w:sz w:val="36"/>
        </w:rPr>
        <w:t>6. Conclusion</w:t>
      </w:r>
    </w:p>
    <w:p>
      <w:pPr>
        <w:spacing w:after="80"/>
      </w:pPr>
      <w:r>
        <w:rPr>
          <w:i w:val="0"/>
          <w:color w:val="555555"/>
          <w:sz w:val="21"/>
        </w:rPr>
        <w:t>Pizza Fresh &amp; Tasty is in a healthy growth trajectory. Revenue and order counts are rising, average order value is climbing, and the menu has strong performers across all four categories. The primary focus areas for the next period should be:</w:t>
      </w:r>
    </w:p>
    <w:p>
      <w:pPr>
        <w:pStyle w:val="ListBullet"/>
        <w:spacing w:after="60"/>
      </w:pPr>
      <w:r>
        <w:rPr>
          <w:color w:val="1A1A2E"/>
          <w:sz w:val="20"/>
        </w:rPr>
        <w:t>Operational: Staff optimisation around the 12–1 PM lunch peak.</w:t>
      </w:r>
    </w:p>
    <w:p>
      <w:pPr>
        <w:pStyle w:val="ListBullet"/>
        <w:spacing w:after="60"/>
      </w:pPr>
      <w:r>
        <w:rPr>
          <w:color w:val="1A1A2E"/>
          <w:sz w:val="20"/>
        </w:rPr>
        <w:t>Menu: Urgent review of The Brie Carre Pizza.</w:t>
      </w:r>
    </w:p>
    <w:p>
      <w:pPr>
        <w:pStyle w:val="ListBullet"/>
        <w:spacing w:after="60"/>
      </w:pPr>
      <w:r>
        <w:rPr>
          <w:color w:val="1A1A2E"/>
          <w:sz w:val="20"/>
        </w:rPr>
        <w:t>Marketing: Sunday activation campaign and weekend combo deals.</w:t>
      </w:r>
    </w:p>
    <w:p>
      <w:pPr>
        <w:pStyle w:val="ListBullet"/>
        <w:spacing w:after="60"/>
      </w:pPr>
      <w:r>
        <w:rPr>
          <w:color w:val="1A1A2E"/>
          <w:sz w:val="20"/>
        </w:rPr>
        <w:t>Revenue: Structured upselling to sustain the positive AOV trend.</w:t>
      </w:r>
    </w:p>
    <w:p>
      <w:pPr>
        <w:spacing w:after="320"/>
      </w:pPr>
      <w:r>
        <w:rPr>
          <w:i w:val="0"/>
          <w:color w:val="555555"/>
          <w:sz w:val="21"/>
        </w:rPr>
        <w:br/>
        <w:t>Implementing these recommendations in a phased manner over the next 30–60 days should yield measurable improvements in both volume and profitability.</w:t>
      </w:r>
    </w:p>
    <w:p>
      <w:pPr>
        <w:pBdr>
          <w:bottom w:val="single" w:sz="6" w:space="1" w:color="2E862E"/>
        </w:pBdr>
        <w:spacing w:before="0" w:after="80"/>
      </w:pPr>
    </w:p>
    <w:p>
      <w:pPr>
        <w:spacing w:before="80"/>
      </w:pPr>
      <w:r>
        <w:rPr>
          <w:color w:val="555555"/>
          <w:sz w:val="17"/>
        </w:rPr>
        <w:t xml:space="preserve">Prepared by DataEdge Analytics  ·  </w:t>
      </w:r>
      <w:r>
        <w:rPr>
          <w:b/>
          <w:color w:val="C0392B"/>
          <w:sz w:val="17"/>
        </w:rPr>
        <w:t>Confidential — For Client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