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№6. Вариант 5</w:t>
      </w:r>
    </w:p>
    <w:p>
      <w:r>
        <w:t>Цель работы — исследовать влияние dropout на качество нейросетевого прогноза в постановке, совпадающей с практической работой №2, задание 2: предсказание цены закрытия на следующий шаг по набору финансово-технических признаков на синтетическом OHLCV-подобном ряду.</w:t>
      </w:r>
    </w:p>
    <w:p>
      <w:r>
        <w:t>Важное техническое замечание: модуль `MLPRegressor` из scikit-learn не реализует dropout. Поэтому для выполнения задания построена эквивалентная полносвязная сеть с той же топологией скрытых слоёв (32 и 16 нейронов) и активацией tanh, обучаемая на NumPy (мини-батч Adam) с inverted dropout после каждого скрытого слоя. Так решается задача без установки тяжёлого пакета PyTorch (`torch`). Вероятность «выключения» нейрона задаётся параметром p.</w:t>
      </w:r>
    </w:p>
    <w:p>
      <w:pPr>
        <w:pStyle w:val="Heading2"/>
      </w:pPr>
      <w:r>
        <w:t>1. Постановка и данные</w:t>
      </w:r>
    </w:p>
    <w:p>
      <w:r>
        <w:t>Признаки и хронологическое разбиение train/test формируются по тем же правилам, что в `practice02.run_task2_stock_forecast`: лаги лог-доходности, объём, скользящая волатильность, текущий уровень цены; цель — значение цены на следующий день.</w:t>
      </w:r>
    </w:p>
    <w:p>
      <w:r>
        <w:t>Размер эффективной выборки (после формирования лагов): 596 наблюдений. Обучающая часть: 488 точек; тестовая — оставшиеся. Признаки и целевая переменная на обучении стандартизуются через `StandardScaler` так же, как в практике №2.</w:t>
      </w:r>
    </w:p>
    <w:p>
      <w:pPr>
        <w:pStyle w:val="Heading2"/>
      </w:pPr>
      <w:r>
        <w:t>2. Эксперимент по dropout</w:t>
      </w:r>
    </w:p>
    <w:p>
      <w:r>
        <w:t>Согласно заданию, выполняются три прогона с вероятностью dropout p = 0.1, p = 0.2 и p = 0.5. При обучении dropout активен (режим train); при получении прогноза на тесте используется режим eval, при котором dropout выключен.</w:t>
      </w:r>
    </w:p>
    <w:p>
      <w:r>
        <w:t>Параметры оптимизации (единые для всех p): число эпох 1200, размер мини-батча 64, скорость обучения Adam 0.004, L2-регуляризация (weight_decay) 0.005, реализация: numpy.</w:t>
      </w:r>
    </w:p>
    <w:p>
      <w:pPr>
        <w:pStyle w:val="Heading2"/>
      </w:pPr>
      <w:r>
        <w:t>3. Результаты на тестовой выборке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Dropout p</w:t>
            </w:r>
          </w:p>
        </w:tc>
        <w:tc>
          <w:tcPr>
            <w:tcW w:type="dxa" w:w="1728"/>
          </w:tcPr>
          <w:p>
            <w:r>
              <w:t>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R²</w:t>
            </w:r>
          </w:p>
        </w:tc>
        <w:tc>
          <w:tcPr>
            <w:tcW w:type="dxa" w:w="1728"/>
          </w:tcPr>
          <w:p>
            <w: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3.99943</w:t>
            </w:r>
          </w:p>
        </w:tc>
        <w:tc>
          <w:tcPr>
            <w:tcW w:type="dxa" w:w="1728"/>
          </w:tcPr>
          <w:p>
            <w:r>
              <w:t>1.5942</w:t>
            </w:r>
          </w:p>
        </w:tc>
        <w:tc>
          <w:tcPr>
            <w:tcW w:type="dxa" w:w="1728"/>
          </w:tcPr>
          <w:p>
            <w:r>
              <w:t>0.87805</w:t>
            </w:r>
          </w:p>
        </w:tc>
        <w:tc>
          <w:tcPr>
            <w:tcW w:type="dxa" w:w="1728"/>
          </w:tcPr>
          <w:p>
            <w:r>
              <w:t>Тест, хронология сохранена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4.20967</w:t>
            </w:r>
          </w:p>
        </w:tc>
        <w:tc>
          <w:tcPr>
            <w:tcW w:type="dxa" w:w="1728"/>
          </w:tcPr>
          <w:p>
            <w:r>
              <w:t>1.66235</w:t>
            </w:r>
          </w:p>
        </w:tc>
        <w:tc>
          <w:tcPr>
            <w:tcW w:type="dxa" w:w="1728"/>
          </w:tcPr>
          <w:p>
            <w:r>
              <w:t>0.871639</w:t>
            </w:r>
          </w:p>
        </w:tc>
        <w:tc>
          <w:tcPr>
            <w:tcW w:type="dxa" w:w="1728"/>
          </w:tcPr>
          <w:p>
            <w:r>
              <w:t>Тест, хронология сохранена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5.07892</w:t>
            </w:r>
          </w:p>
        </w:tc>
        <w:tc>
          <w:tcPr>
            <w:tcW w:type="dxa" w:w="1728"/>
          </w:tcPr>
          <w:p>
            <w:r>
              <w:t>1.75452</w:t>
            </w:r>
          </w:p>
        </w:tc>
        <w:tc>
          <w:tcPr>
            <w:tcW w:type="dxa" w:w="1728"/>
          </w:tcPr>
          <w:p>
            <w:r>
              <w:t>0.845134</w:t>
            </w:r>
          </w:p>
        </w:tc>
        <w:tc>
          <w:tcPr>
            <w:tcW w:type="dxa" w:w="1728"/>
          </w:tcPr>
          <w:p>
            <w:r>
              <w:t>Тест, хронология сохранена</w:t>
            </w:r>
          </w:p>
        </w:tc>
      </w:tr>
    </w:tbl>
    <w:p>
      <w:r>
        <w:t>Интерпретация: при повышении p регуляризация усиливается, что может уменьшить переобучение, но при слишком большом p модель теряет ёмкость и качество на тесте может ухудшиться. Конкретное соотношение метрик зависит от масштаба данных и числа эпох.</w:t>
      </w:r>
    </w:p>
    <w:p>
      <w:pPr>
        <w:pStyle w:val="Heading2"/>
      </w:pPr>
      <w:r>
        <w:t>4. Иллюстрации</w:t>
      </w:r>
    </w:p>
    <w:p>
      <w:r>
        <w:drawing>
          <wp:inline xmlns:a="http://schemas.openxmlformats.org/drawingml/2006/main" xmlns:pic="http://schemas.openxmlformats.org/drawingml/2006/picture">
            <wp:extent cx="54864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6_dropout_test_foreca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Тестовый интервал: фактическая цена и прогнозы при разных значениях dropout.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6_dropout_test_mse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Сравнение среднеквадратичной ошибки на тесте для p ∈ {0.1, 0.2, 0.5}.</w:t>
      </w:r>
    </w:p>
    <w:p>
      <w:pPr>
        <w:pStyle w:val="Heading3"/>
      </w:pPr>
      <w:r>
        <w:t>Рисунок 3 — Скрин консоли (вставить вручную)</w:t>
      </w:r>
    </w:p>
    <w:p>
      <w:r>
        <w:t>Вставьте скрин терминала после запуска `python -m neuro_math_Yakimov_var5.task_6.practice06`: должны быть видны параметры разбиения выборки, настройки обучения и таблица метрик на тесте для каждого p.</w:t>
      </w:r>
    </w:p>
    <w:p/>
    <w:p/>
    <w:p>
      <w:pPr>
        <w:pStyle w:val="Heading2"/>
      </w:pPr>
      <w:r>
        <w:t>Вывод</w:t>
      </w:r>
    </w:p>
    <w:p>
      <w:r>
        <w:t>Проведено сравнение трёх значений dropout в эквивалентной постановке практики №2 (задание 2). Зафиксированы метрики регрессии на отложенном тесте и графические зависимости прогноза от выбора p.</w:t>
      </w:r>
    </w:p>
    <w:p>
      <w:pPr>
        <w:pStyle w:val="Heading2"/>
      </w:pPr>
      <w:r>
        <w:t>Ссылка на исходный код</w:t>
      </w:r>
    </w:p>
    <w:p>
      <w:r>
        <w:t>Рабочий скрипт: `neuro_math_Yakimov_var5/task_6/practice06.py`. Генератор отчёта: `report_generator/practice06_docx.py`.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