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97B7D2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288" w:lineRule="auto"/>
        <w:ind w:right="0" w:firstLine="709" w:left="0"/>
        <w:jc w:val="both"/>
        <w:rPr>
          <w:rStyle w:val="1513"/>
          <w:rFonts w:ascii="Times New Roman" w:hAnsi="Times New Roman" w:eastAsia="Times New Roman" w:cs="Times New Roman"/>
          <w:b/>
          <w:bCs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З</w:t>
      </w:r>
      <w:r>
        <w:rPr>
          <w:rStyle w:val="1513"/>
          <w:rFonts w:ascii="Times New Roman" w:hAnsi="Times New Roman" w:eastAsia="Times New Roman" w:cs="Times New Roman"/>
          <w:b/>
          <w:bCs/>
        </w:rPr>
        <w:t xml:space="preserve">адание №</w:t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2</w:t>
      </w:r>
      <w:r>
        <w:rPr>
          <w:rStyle w:val="1513"/>
          <w:rFonts w:ascii="Times New Roman" w:hAnsi="Times New Roman" w:eastAsia="Times New Roman" w:cs="Times New Roman"/>
          <w:b/>
          <w:bCs/>
        </w:rPr>
      </w:r>
      <w:r>
        <w:rPr>
          <w:rStyle w:val="1513"/>
          <w:rFonts w:ascii="Times New Roman" w:hAnsi="Times New Roman" w:eastAsia="Times New Roman" w:cs="Times New Roman"/>
          <w:b/>
          <w:bCs/>
        </w:rPr>
      </w:r>
    </w:p>
    <w:p w14:paraId="7B2CB941">
      <w:pPr>
        <w:pStyle w:val="1512"/>
        <w:pBdr/>
        <w:spacing/>
        <w:ind/>
        <w:rPr/>
      </w:pP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Вариант 5</w:t>
      </w:r>
      <w:r>
        <w:rPr>
          <w:rStyle w:val="1513"/>
          <w:rFonts w:ascii="Times New Roman" w:hAnsi="Times New Roman" w:eastAsia="Times New Roman" w:cs="Times New Roman"/>
          <w:b/>
          <w:bCs/>
        </w:rPr>
      </w:r>
      <w:r/>
    </w:p>
    <w:p w14:paraId="5F5FFFF9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Выполнил студент гр. </w:t>
      </w:r>
      <w:r>
        <w:rPr>
          <w:sz w:val="24"/>
          <w:szCs w:val="24"/>
          <w:lang w:val="ru-RU"/>
        </w:rPr>
        <w:t xml:space="preserve">НТм(до)з-25-1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24836414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Якимов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Сергей Анатольевич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1320FE66">
      <w:pPr>
        <w:pStyle w:val="1512"/>
        <w:pBdr/>
        <w:spacing/>
        <w:ind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  <w:t xml:space="preserve">Задание 1</w:t>
      </w: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</w:p>
    <w:p w14:paraId="107E3519">
      <w:pPr>
        <w:pStyle w:val="1512"/>
        <w:pBdr/>
        <w:spacing/>
        <w:ind/>
        <w:rPr>
          <w:highlight w:val="none"/>
        </w:rPr>
      </w:pPr>
      <w:r>
        <w:rPr>
          <w:highlight w:val="none"/>
        </w:rPr>
        <w:t xml:space="preserve">Смоделировать НС для тренировочной выборки (варианты заданий -</w:t>
      </w:r>
      <w:r>
        <w:rPr>
          <w:highlight w:val="none"/>
          <w:lang w:val="ru-RU"/>
        </w:rPr>
        <w:t xml:space="preserve"> </w:t>
      </w:r>
      <w:r/>
      <w:r>
        <w:rPr>
          <w:highlight w:val="none"/>
        </w:rPr>
        <w:t xml:space="preserve">таблицы 2.7, 2.8). Получить функциональную зависимость для тренировочной</w:t>
      </w:r>
      <w:r>
        <w:rPr>
          <w:highlight w:val="none"/>
          <w:lang w:val="ru-RU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выборке НС, построить ее график. Проверить результат с использованием</w:t>
      </w:r>
      <w:r>
        <w:rPr>
          <w:highlight w:val="none"/>
          <w:lang w:val="ru-RU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тестовой выборки.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6B97B5">
      <w:pPr>
        <w:pStyle w:val="1512"/>
        <w:pBdr/>
        <w:spacing/>
        <w:ind w:firstLine="0"/>
        <w:rPr>
          <w:highlight w:val="none"/>
          <w14:ligatures w14:val="none"/>
        </w:rPr>
      </w:pP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58477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2947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3414" cy="2584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45pt;height:203.5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1A05A39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98132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642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3414" cy="981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45pt;height:77.2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1F95716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9325" cy="23131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9897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849324" cy="231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0.58pt;height:18.2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A91E80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264985B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F310D8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47537D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063B319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C33432B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29E7374">
      <w:pPr>
        <w:pStyle w:val="1512"/>
        <w:pBdr/>
        <w:spacing/>
        <w:ind w:firstLine="709" w:left="0"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Задание 2</w:t>
      </w:r>
      <w:r>
        <w:rPr>
          <w:b/>
          <w:bCs/>
          <w:i/>
          <w:iCs/>
        </w:rPr>
      </w:r>
    </w:p>
    <w:p w14:paraId="67CF2EBF">
      <w:pPr>
        <w:pStyle w:val="1512"/>
        <w:pBdr/>
        <w:spacing/>
        <w:ind w:firstLine="709" w:left="0"/>
        <w:rPr>
          <w:highlight w:val="none"/>
          <w14:ligatures w14:val="none"/>
        </w:rPr>
      </w:pPr>
      <w:r>
        <w:t xml:space="preserve">Подготовить данные по теме (варианты заданий - таблицы 2.9).</w:t>
      </w:r>
      <w:r>
        <w:rPr>
          <w:lang w:val="ru-RU"/>
        </w:rPr>
        <w:t xml:space="preserve"> </w:t>
      </w:r>
      <w:r/>
      <w:r>
        <w:t xml:space="preserve">Смоделировать НС и получить функциональную зависимость для</w:t>
      </w:r>
      <w:r>
        <w:rPr>
          <w:lang w:val="ru-RU"/>
        </w:rPr>
        <w:t xml:space="preserve"> </w:t>
      </w:r>
      <w:r/>
      <w:r/>
      <w:r>
        <w:t xml:space="preserve">тренировочной выборке НС, построить ее график. Проверить результат с</w:t>
      </w:r>
      <w:r>
        <w:rPr>
          <w:lang w:val="ru-RU"/>
        </w:rPr>
        <w:t xml:space="preserve"> </w:t>
      </w:r>
      <w:r/>
      <w:r/>
      <w:r>
        <w:t xml:space="preserve">использованием тестовой выборки.</w:t>
      </w:r>
      <w:r/>
      <w:r/>
      <w:r/>
    </w:p>
    <w:p w14:paraId="54802F36">
      <w:pPr>
        <w:pStyle w:val="1512"/>
        <w:pBdr/>
        <w:spacing/>
        <w:ind w:firstLine="0" w:left="0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5899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995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3414" cy="589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45pt;height:46.4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E6D3B9">
      <w:pPr>
        <w:pStyle w:val="1512"/>
        <w:pBdr/>
        <w:spacing/>
        <w:ind w:firstLine="0" w:left="0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19324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473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3414" cy="1193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45pt;height:93.9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 w14:paraId="3125EB4C">
      <w:pPr>
        <w:pStyle w:val="1512"/>
        <w:pBdr/>
        <w:spacing/>
        <w:ind w:firstLine="0" w:left="0"/>
        <w:rPr/>
      </w:pPr>
      <w:r/>
      <w:r/>
      <w:r/>
    </w:p>
    <w:p w14:paraId="0684B52D">
      <w:pPr>
        <w:pStyle w:val="1512"/>
        <w:pBdr/>
        <w:spacing/>
        <w:ind w:firstLine="0" w:left="0"/>
        <w:rPr/>
      </w:pPr>
      <w:r/>
      <w:r/>
      <w:r/>
    </w:p>
    <w:p w14:paraId="5D6682D5">
      <w:pPr>
        <w:pStyle w:val="1512"/>
        <w:pBdr/>
        <w:spacing/>
        <w:ind w:firstLine="0" w:left="0"/>
        <w:rPr/>
      </w:pPr>
      <w:r/>
      <w:r/>
      <w:r/>
    </w:p>
    <w:p w14:paraId="086931A7">
      <w:pPr>
        <w:pStyle w:val="1512"/>
        <w:pBdr/>
        <w:spacing/>
        <w:ind w:firstLine="0" w:left="0"/>
        <w:rPr/>
      </w:pPr>
      <w:r/>
      <w:r/>
      <w:r/>
    </w:p>
    <w:p w14:paraId="275466E4">
      <w:pPr>
        <w:pStyle w:val="1512"/>
        <w:pBdr/>
        <w:spacing/>
        <w:ind w:firstLine="0" w:left="0"/>
        <w:rPr/>
      </w:pPr>
      <w:r/>
      <w:r/>
      <w:r/>
    </w:p>
    <w:p w14:paraId="648FE597">
      <w:pPr>
        <w:pStyle w:val="1512"/>
        <w:pBdr/>
        <w:spacing/>
        <w:ind w:firstLine="0" w:left="0"/>
        <w:rPr/>
      </w:pPr>
      <w:r/>
      <w:r/>
      <w:r/>
    </w:p>
    <w:p w14:paraId="051AED8D">
      <w:pPr>
        <w:pStyle w:val="1512"/>
        <w:pBdr/>
        <w:spacing/>
        <w:ind w:firstLine="0" w:left="0"/>
        <w:rPr/>
      </w:pPr>
      <w:r/>
      <w:r/>
      <w:r/>
    </w:p>
    <w:p w14:paraId="42F8F346">
      <w:pPr>
        <w:pStyle w:val="1512"/>
        <w:pBdr/>
        <w:spacing/>
        <w:ind w:firstLine="0" w:left="0"/>
        <w:rPr/>
      </w:pPr>
      <w:r/>
      <w:r/>
      <w:r/>
    </w:p>
    <w:p w14:paraId="67672541">
      <w:pPr>
        <w:pStyle w:val="1512"/>
        <w:pBdr/>
        <w:spacing/>
        <w:ind w:firstLine="0" w:left="0"/>
        <w:rPr/>
      </w:pPr>
      <w:r/>
      <w:r/>
      <w:r/>
    </w:p>
    <w:p w14:paraId="4551677E">
      <w:pPr>
        <w:pStyle w:val="1512"/>
        <w:pBdr/>
        <w:spacing/>
        <w:ind w:firstLine="0" w:left="0"/>
        <w:rPr/>
      </w:pPr>
      <w:r/>
      <w:r/>
      <w:r/>
    </w:p>
    <w:p w14:paraId="441112ED">
      <w:pPr>
        <w:pStyle w:val="1512"/>
        <w:pBdr/>
        <w:spacing/>
        <w:ind w:firstLine="0" w:left="0"/>
        <w:rPr/>
      </w:pPr>
      <w:r/>
      <w:r/>
      <w:r/>
    </w:p>
    <w:p w14:paraId="4561B688">
      <w:pPr>
        <w:pStyle w:val="1512"/>
        <w:pBdr/>
        <w:spacing/>
        <w:ind w:firstLine="0" w:left="0"/>
        <w:rPr/>
      </w:pPr>
      <w:r/>
      <w:r/>
      <w:r/>
    </w:p>
    <w:p w14:paraId="4660FD8E">
      <w:pPr>
        <w:pStyle w:val="1512"/>
        <w:pBdr/>
        <w:spacing/>
        <w:ind w:firstLine="0" w:left="0"/>
        <w:rPr/>
      </w:pPr>
      <w:r/>
      <w:r/>
      <w:r/>
    </w:p>
    <w:p w14:paraId="1B892231">
      <w:pPr>
        <w:pStyle w:val="1512"/>
        <w:pBdr/>
        <w:spacing/>
        <w:ind w:firstLine="0" w:left="0"/>
        <w:rPr/>
      </w:pPr>
      <w:r/>
      <w:r/>
      <w:r/>
    </w:p>
    <w:p w14:paraId="0F367FA5">
      <w:pPr>
        <w:pStyle w:val="1512"/>
        <w:pBdr/>
        <w:spacing/>
        <w:ind w:firstLine="0" w:left="0"/>
        <w:rPr/>
      </w:pPr>
      <w:r/>
      <w:r/>
      <w:r/>
    </w:p>
    <w:p w14:paraId="24D94460">
      <w:pPr>
        <w:pStyle w:val="1512"/>
        <w:pBdr/>
        <w:spacing/>
        <w:ind w:firstLine="0" w:left="0"/>
        <w:rPr/>
      </w:pPr>
      <w:r/>
      <w:r/>
      <w:r/>
    </w:p>
    <w:p w14:paraId="2E1C550B">
      <w:pPr>
        <w:pStyle w:val="1512"/>
        <w:pBdr/>
        <w:spacing/>
        <w:ind w:firstLine="0" w:left="0"/>
        <w:rPr/>
      </w:pPr>
      <w:r/>
      <w:r/>
      <w:r/>
    </w:p>
    <w:p w14:paraId="20DB2B48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288" w:lineRule="auto"/>
        <w:ind w:right="0" w:firstLine="709" w:left="0"/>
        <w:jc w:val="both"/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Отчёт</w:t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</w:p>
    <w:p w14:paraId="6EFAA80F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Метрики качества регрессии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0EBB609C">
      <w:pPr>
        <w:pStyle w:val="1512"/>
        <w:pBdr/>
        <w:spacing/>
        <w:ind/>
        <w:rPr/>
      </w:pPr>
      <w:r>
        <w:t xml:space="preserve">Для оценки близости предсказаний ŷ к эталонным значениям y на обучающей и тестовой выборках используются стандартные показатели, реализованные в библиотеке scikit-learn.</w:t>
      </w:r>
      <w:r/>
      <w:r/>
    </w:p>
    <w:p w14:paraId="51FB8863">
      <w:pPr>
        <w:pStyle w:val="1512"/>
        <w:pBdr/>
        <w:spacing/>
        <w:ind/>
        <w:rPr/>
      </w:pPr>
      <w:r>
        <w:t xml:space="preserve">Среднеквадратичная ошибка (MSE): MSE = (1/n) Σᵢ (yᵢ − ŷᵢ)². Чем меньше MSE, тем ближе прогноз к целевой переменной в квадратичном смысле; при сравнении моделей удобно также смотреть на RMSE = √MSE в тех же единицах, что и Y.</w:t>
      </w:r>
      <w:r/>
      <w:r/>
    </w:p>
    <w:p w14:paraId="24C872F7">
      <w:pPr>
        <w:pStyle w:val="1512"/>
        <w:pBdr/>
        <w:spacing/>
        <w:ind/>
        <w:rPr/>
      </w:pPr>
      <w:r>
        <w:t xml:space="preserve">Средняя абсолютная ошибка (MAE): MAE = (1/n) Σᵢ |yᵢ − ŷᵢ|. Интерпретируется как типичное отклонение прогноза по модулю, менее чувствительна к редким большим ошибкам, чем MSE.</w:t>
      </w:r>
      <w:r/>
      <w:r/>
    </w:p>
    <w:p w14:paraId="795A4218">
      <w:pPr>
        <w:pStyle w:val="1512"/>
        <w:pBdr/>
        <w:spacing/>
        <w:ind/>
        <w:rPr/>
      </w:pPr>
      <w:r>
        <w:t xml:space="preserve">Коэффициент детерминации R²: чем ближе к 1, тем большая доля дисперсии целевой переменной объясняется моделью; отрица</w:t>
      </w:r>
      <w:r>
        <w:t xml:space="preserve">тельные значения R² означают, что модель в среднем хуже наивного предсказания константой (средним по выборке). На малых и противоречивых выборках R² может быть нестабильным, поэтому его следует сопоставлять с MSE/MAE и содержательной интерпретацией данных.</w:t>
      </w:r>
      <w:r/>
      <w:r/>
    </w:p>
    <w:p w14:paraId="48D478A4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1-й этап: подготовка данных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60DEE22B">
      <w:pPr>
        <w:pStyle w:val="1512"/>
        <w:pBdr/>
        <w:spacing/>
        <w:ind/>
        <w:rPr/>
      </w:pPr>
      <w:r>
        <w:t xml:space="preserve">Исходная таблица 2.7 задаёт дискретные наблюдения пары с</w:t>
      </w:r>
      <w:r>
        <w:t xml:space="preserve">калярных величин: аргумент </w:t>
      </w:r>
      <w:r>
        <w:t xml:space="preserve">X и отклик Y. Перед обучением нейронной сети важно явно зафиксировать, какие строки относятся к обучению, а какие — к контролю обобщения. Перемешивание строк в задании 1 не применяется: разбиение детерминировано номером варианта.</w:t>
      </w:r>
      <w:r/>
      <w:r/>
    </w:p>
    <w:p w14:paraId="0AF00C45">
      <w:pPr>
        <w:pStyle w:val="1512"/>
        <w:pBdr/>
        <w:spacing/>
        <w:ind/>
        <w:rPr/>
      </w:pPr>
      <w:r>
        <w:t xml:space="preserve">Таблица А. Тренировочная выборка (строки 7–10 табл. 2.7, вар. 5)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1567353">
            <w:pPr>
              <w:pStyle w:val="151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№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26E173B7">
            <w:pPr>
              <w:pStyle w:val="151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X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34FF2F5">
            <w:pPr>
              <w:pStyle w:val="151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269AF70F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1954BF23">
            <w:pPr>
              <w:pStyle w:val="1518"/>
              <w:pBdr/>
              <w:spacing/>
              <w:ind/>
              <w:jc w:val="center"/>
              <w:rPr/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33ADDCB8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6B677DC1">
            <w:pPr>
              <w:pStyle w:val="1518"/>
              <w:pBdr/>
              <w:spacing/>
              <w:ind/>
              <w:jc w:val="center"/>
              <w:rPr/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26BD678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4698AF5">
            <w:pPr>
              <w:pStyle w:val="1518"/>
              <w:pBdr/>
              <w:spacing/>
              <w:ind/>
              <w:jc w:val="center"/>
              <w:rPr/>
            </w:pPr>
            <w:r>
              <w:t xml:space="preserve">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A516AB9">
            <w:pPr>
              <w:pStyle w:val="1518"/>
              <w:pBdr/>
              <w:spacing/>
              <w:ind/>
              <w:jc w:val="center"/>
              <w:rPr/>
            </w:pPr>
            <w: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7FA92CFA">
            <w:pPr>
              <w:pStyle w:val="1518"/>
              <w:pBdr/>
              <w:spacing/>
              <w:ind/>
              <w:jc w:val="center"/>
              <w:rPr/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5A03B056">
            <w:pPr>
              <w:pStyle w:val="1518"/>
              <w:pBdr/>
              <w:spacing/>
              <w:ind/>
              <w:jc w:val="center"/>
              <w:rPr/>
            </w:pPr>
            <w:r>
              <w:t xml:space="preserve">3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A10271D">
            <w:pPr>
              <w:pStyle w:val="1518"/>
              <w:pBdr/>
              <w:spacing/>
              <w:ind/>
              <w:jc w:val="center"/>
              <w:rPr/>
            </w:pPr>
            <w:r>
              <w:t xml:space="preserve">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3909A8C">
            <w:pPr>
              <w:pStyle w:val="1518"/>
              <w:pBdr/>
              <w:spacing/>
              <w:ind/>
              <w:jc w:val="center"/>
              <w:rPr/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12EBF957">
            <w:pPr>
              <w:pStyle w:val="1518"/>
              <w:pBdr/>
              <w:spacing/>
              <w:ind/>
              <w:jc w:val="center"/>
              <w:rPr/>
            </w:pPr>
            <w:r>
              <w:t xml:space="preserve">-2</w:t>
            </w:r>
            <w:r/>
            <w:r/>
          </w:p>
        </w:tc>
      </w:tr>
    </w:tbl>
    <w:p w14:paraId="6A468CC9">
      <w:pPr>
        <w:pStyle w:val="1512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C05557">
      <w:pPr>
        <w:pStyle w:val="1512"/>
        <w:pBdr/>
        <w:spacing/>
        <w:ind/>
        <w:rPr>
          <w:highlight w:val="none"/>
        </w:rPr>
      </w:pPr>
      <w:r>
        <w:t xml:space="preserve">Таблица Б. Тестовая выборка (остальные строки табл. 2.7)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111B1C14">
            <w:pPr>
              <w:pStyle w:val="151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№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C2BC6FF">
            <w:pPr>
              <w:pStyle w:val="151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X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654B18C3">
            <w:pPr>
              <w:pStyle w:val="1518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AC02BB2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2BA767E">
            <w:pPr>
              <w:pStyle w:val="1518"/>
              <w:pBdr/>
              <w:spacing/>
              <w:ind/>
              <w:jc w:val="center"/>
              <w:rPr/>
            </w:pPr>
            <w:r>
              <w:t xml:space="preserve">-1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7AA2782E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E6D789A">
            <w:pPr>
              <w:pStyle w:val="1518"/>
              <w:pBdr/>
              <w:spacing/>
              <w:ind/>
              <w:jc w:val="center"/>
              <w:rPr/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2818087">
            <w:pPr>
              <w:pStyle w:val="1518"/>
              <w:pBdr/>
              <w:spacing/>
              <w:ind/>
              <w:jc w:val="center"/>
              <w:rPr/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26747884">
            <w:pPr>
              <w:pStyle w:val="1518"/>
              <w:pBdr/>
              <w:spacing/>
              <w:ind/>
              <w:jc w:val="center"/>
              <w:rPr/>
            </w:pPr>
            <w:r>
              <w:t xml:space="preserve">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2E4E5212">
            <w:pPr>
              <w:pStyle w:val="1518"/>
              <w:pBdr/>
              <w:spacing/>
              <w:ind/>
              <w:jc w:val="center"/>
              <w:rPr/>
            </w:pPr>
            <w: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786D9F47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7A450911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99543AF">
            <w:pPr>
              <w:pStyle w:val="1518"/>
              <w:pBdr/>
              <w:spacing/>
              <w:ind/>
              <w:jc w:val="center"/>
              <w:rPr/>
            </w:pPr>
            <w:r>
              <w:t xml:space="preserve">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5634F0D">
            <w:pPr>
              <w:pStyle w:val="1518"/>
              <w:pBdr/>
              <w:spacing/>
              <w:ind/>
              <w:jc w:val="center"/>
              <w:rPr/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69228B6F">
            <w:pPr>
              <w:pStyle w:val="1518"/>
              <w:pBdr/>
              <w:spacing/>
              <w:ind/>
              <w:jc w:val="center"/>
              <w:rPr/>
            </w:pPr>
            <w:r>
              <w:t xml:space="preserve">4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2079386">
            <w:pPr>
              <w:pStyle w:val="1518"/>
              <w:pBdr/>
              <w:spacing/>
              <w:ind/>
              <w:jc w:val="center"/>
              <w:rPr/>
            </w:pPr>
            <w:r>
              <w:t xml:space="preserve">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69E7C4BD">
            <w:pPr>
              <w:pStyle w:val="1518"/>
              <w:pBdr/>
              <w:spacing/>
              <w:ind/>
              <w:jc w:val="center"/>
              <w:rPr/>
            </w:pPr>
            <w:r>
              <w:t xml:space="preserve">-1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35EFCF52">
            <w:pPr>
              <w:pStyle w:val="1518"/>
              <w:pBdr/>
              <w:spacing/>
              <w:ind/>
              <w:jc w:val="center"/>
              <w:rPr/>
            </w:pPr>
            <w:r>
              <w:t xml:space="preserve">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774870C3">
            <w:pPr>
              <w:pStyle w:val="1518"/>
              <w:pBdr/>
              <w:spacing/>
              <w:ind/>
              <w:jc w:val="center"/>
              <w:rPr/>
            </w:pPr>
            <w:r>
              <w:t xml:space="preserve">6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66810243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18B73609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</w:tr>
    </w:tbl>
    <w:p w14:paraId="3C8304BD">
      <w:pPr>
        <w:pStyle w:val="1512"/>
        <w:pBdr/>
        <w:spacing/>
        <w:ind/>
        <w:rPr/>
      </w:pPr>
      <w:r>
        <w:t xml:space="preserve">Особенность данных: в тренировочной выборке присутствуют две записи с одинаковым значением x = 2 и разны</w:t>
      </w:r>
      <w:r>
        <w:t xml:space="preserve">ми откликами Y = 3 и Y = −2. В классическом понятии функции y = f(x) одному аргументу не может соответствовать два различных значения отклика; минимизация среднеквадратичной ошибки на таких точках приводит к компромиссному значению предсказания в окрестнос</w:t>
      </w:r>
      <w:r>
        <w:t xml:space="preserve">ти x = 2. Это необходимо учитывать при анализе метрик на тесте: например, точка (2; 4) из тестовой части таблицы может оказаться далеко от кривой, построенной нейросетью, не из-за «плохого» обучения, а из-за внутренней неоднозначности обучающей подвыборки.</w:t>
      </w:r>
      <w:r/>
      <w:r/>
    </w:p>
    <w:p w14:paraId="67191986">
      <w:pPr>
        <w:pStyle w:val="1512"/>
        <w:pBdr/>
        <w:spacing/>
        <w:ind/>
        <w:rPr/>
      </w:pPr>
      <w:r>
        <w:t xml:space="preserve">Для задания 2 синтетический ряд модел</w:t>
      </w:r>
      <w:r>
        <w:t xml:space="preserve">ирует динамику цены закрытия и сопутствующего объёма торгов. Из уровней цен вычисляются логарифмические доходности; по скользящему окну оценивается локальная волатильность (стандартное отклонение доходностей) как упрощённый аналог индикатора волатильности.</w:t>
      </w:r>
      <w:r>
        <w:t xml:space="preserve"> В вектор признаков на момент времени t дополнительно включается текущий уровень цены: без него модель в масштабе абсолютных цен на отложенном тесте часто теряет устойчивость, так как лаги доходностей сами по себе не несут информации о текущем уровне ряда.</w:t>
      </w:r>
      <w:r/>
      <w:r/>
    </w:p>
    <w:p w14:paraId="32CAEFD2">
      <w:pPr>
        <w:pStyle w:val="1512"/>
        <w:pBdr/>
        <w:spacing/>
        <w:ind/>
        <w:rPr/>
      </w:pPr>
      <w:r>
        <w:t xml:space="preserve">Целевая переменная — цена на следующий торговый день (одношаговый горизонт прогноза). Длина ряда и доля обучающих наблюдений задаются в программе (по умолчанию длина ряда 600 точек, доля обучения око</w:t>
      </w:r>
      <w:r>
        <w:t xml:space="preserve">ло 82% от числа сформированных пар признак–ответ). Разбиение строго хронологическое: тестовый участок соответствует более поздним датам; перемешивание точек временного ряда недопустимо, иначе оценка качества завышается за счёт утечки «будущего» в признаки.</w:t>
      </w:r>
      <w:r/>
      <w:r/>
    </w:p>
    <w:p w14:paraId="59B00318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2-й этап: выбор модели нейронной сети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1CEB49EF">
      <w:pPr>
        <w:pStyle w:val="1512"/>
        <w:pBdr/>
        <w:spacing/>
        <w:ind/>
        <w:rPr/>
      </w:pPr>
      <w:r>
        <w:t xml:space="preserve">В обоих заданиях используется многослойный перцептрон для регрессии — класс sklearn.neural_network.MLPRegressor. Это полносвязная сеть прямого распространения: каждый нейрон скрытого слоя п</w:t>
      </w:r>
      <w:r>
        <w:t xml:space="preserve">олучает взвешенную сумму входов, к которой применяется нелинейная функция активации (в работе — гиперболический тангенс tanh), после чего сигнал передаётся на следующий слой или на выходной нейрон с линейной идентичностью (регрессия вещественного отклика).</w:t>
      </w:r>
      <w:r/>
      <w:r/>
    </w:p>
    <w:p w14:paraId="5BC0913D">
      <w:pPr>
        <w:pStyle w:val="1512"/>
        <w:pBdr/>
        <w:spacing/>
        <w:ind/>
        <w:rPr/>
      </w:pPr>
      <w:r>
        <w:t xml:space="preserve">В качестве численного решателя для подбора весов выбран L-BFGS (ограни</w:t>
      </w:r>
      <w:r>
        <w:t xml:space="preserve">ченно-памятный метод Бройдена–Флетчера–Гольдфарба–Шанно). Для небольших табличных задач и умеренной размерности сети этот метод часто сходится быстрее и стабильнее стохастического градиентного спуска без тонкой настройки скорости обучения. К входным призна</w:t>
      </w:r>
      <w:r>
        <w:t xml:space="preserve">кам применяется StandardScaler (нулевое среднее, единичная дисперсия по каждому столбцу на обучающей выборке); для задания 2 аналогично масштабируется целевая переменная на этапе обучения, после чего предсказания переводятся обратно в исходный масштаб цен.</w:t>
      </w:r>
      <w:r/>
      <w:r/>
    </w:p>
    <w:p w14:paraId="3851DCFE">
      <w:pPr>
        <w:pStyle w:val="1512"/>
        <w:pBdr/>
        <w:spacing/>
        <w:ind/>
        <w:rPr/>
      </w:pPr>
      <w:r>
        <w:t xml:space="preserve">Регуляризация L2 задаётся параметром alpha: штраф за большие веса снижа</w:t>
      </w:r>
      <w:r>
        <w:t xml:space="preserve">ет риск переобучения на шумных данных. Для задания 1 сеть небольшая (два скрытых слоя по 12 нейронов), alpha = 10⁻⁴. Для задания 2 — слои 32 и 16 нейронов, alpha = 5·10⁻³, что соответствует чуть более сильному сглаживанию на фоне большего числа наблюдений.</w:t>
      </w:r>
      <w:r/>
      <w:r/>
    </w:p>
    <w:p w14:paraId="5E368C5D">
      <w:pPr>
        <w:pStyle w:val="1512"/>
        <w:pBdr/>
        <w:spacing/>
        <w:ind/>
        <w:rPr>
          <w14:ligatures w14:val="none"/>
        </w:rPr>
      </w:pPr>
      <w:r>
        <w:t xml:space="preserve">Запуск рабочей программы из каталога пакета (пример для консоли и скриншота в отчёт):</w:t>
      </w:r>
      <w:r/>
    </w:p>
    <w:p w14:paraId="36D88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16"/>
        </w:rPr>
        <w:t xml:space="preserve"> cd neuro_math_Yakimov_var5</w:t>
      </w:r>
      <w:r/>
    </w:p>
    <w:p w14:paraId="4A6A7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16"/>
        </w:rPr>
        <w:t xml:space="preserve"> python -m task_2.practice02</w:t>
      </w:r>
      <w:r/>
    </w:p>
    <w:p w14:paraId="14433AD1">
      <w:pPr>
        <w:pStyle w:val="1512"/>
        <w:pBdr/>
        <w:spacing/>
        <w:ind w:firstLine="0"/>
        <w:rPr/>
      </w:pPr>
      <w:r/>
      <w:r/>
      <w:r/>
    </w:p>
    <w:p w14:paraId="603BD807">
      <w:pPr>
        <w:pStyle w:val="1512"/>
        <w:pBdr/>
        <w:spacing/>
        <w:ind w:firstLine="0"/>
        <w:rPr/>
      </w:pPr>
      <w:r/>
      <w:r/>
    </w:p>
    <w:p w14:paraId="77CB6D5F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3-й этап: обучение нейронной сети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7B639DD9">
      <w:pPr>
        <w:pStyle w:val="1512"/>
        <w:pBdr/>
        <w:spacing/>
        <w:ind/>
        <w:rPr/>
      </w:pPr>
      <w:r>
        <w:t xml:space="preserve">Обучение сводится к минимизации </w:t>
      </w:r>
      <w:r>
        <w:t xml:space="preserve">функционала среднеквадратичной ошибки между предсказаниями сети и эталонными значениями Y (задание 1) или между предсказанной и фактической ценой (задание 2). Итерации L-BFGS продолжаются до выполнения условия сходимости по tol либо до исчерпания max_iter.</w:t>
      </w:r>
      <w:r/>
      <w:r/>
    </w:p>
    <w:p w14:paraId="48025089">
      <w:pPr>
        <w:pStyle w:val="1512"/>
        <w:pBdr/>
        <w:spacing/>
        <w:ind/>
        <w:rPr/>
      </w:pPr>
      <w:r>
        <w:t xml:space="preserve">Практическая ремарка: если библиотека выводит предупреждение о неполной сходимости L-BFG</w:t>
      </w:r>
      <w:r>
        <w:t xml:space="preserve">S за отведённое число итераций, имеет смысл проверить масштаб целевой переменной (стандартизация y), увеличить max_iter или слегка ослабить tol. В актуальной версии программы для задания 2 цель стандартизована, что обычно устраняет подобные предупреждения.</w:t>
      </w:r>
      <w:r/>
      <w:r/>
    </w:p>
    <w:p w14:paraId="0103A764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4-й этап: результаты на обучении и тесте, графики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533AE134">
      <w:pPr>
        <w:pStyle w:val="1512"/>
        <w:pBdr/>
        <w:spacing/>
        <w:ind/>
        <w:rPr/>
      </w:pPr>
      <w:r>
        <w:t xml:space="preserve">Ниже приведены сводные таблицы метрик. Значения получены при последнем прогоне программы, формирующей настоящий отчёт; при изменении seed генератора синтетического ряда или гиперпараметров сети цифры могут незначительно отличаться.</w:t>
      </w:r>
      <w:r/>
      <w:r/>
    </w:p>
    <w:p w14:paraId="07F0E4AB">
      <w:pPr>
        <w:pStyle w:val="1512"/>
        <w:pBdr/>
        <w:spacing/>
        <w:ind/>
        <w:rPr/>
      </w:pPr>
      <w:r>
        <w:t xml:space="preserve">Таблица В. Задание 1 — метрики регрессии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D98E012">
            <w:pPr>
              <w:pStyle w:val="1518"/>
              <w:pBdr/>
              <w:spacing/>
              <w:ind/>
              <w:jc w:val="center"/>
              <w:rPr/>
            </w:pPr>
            <w:r>
              <w:t xml:space="preserve">Выборка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18DA6016">
            <w:pPr>
              <w:pStyle w:val="1518"/>
              <w:pBdr/>
              <w:spacing/>
              <w:ind/>
              <w:jc w:val="center"/>
              <w:rPr/>
            </w:pPr>
            <w:r>
              <w:t xml:space="preserve">MSE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6322407F">
            <w:pPr>
              <w:pStyle w:val="1518"/>
              <w:pBdr/>
              <w:spacing/>
              <w:ind/>
              <w:jc w:val="center"/>
              <w:rPr/>
            </w:pPr>
            <w:r>
              <w:t xml:space="preserve">MAE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2BD9AEB3">
            <w:pPr>
              <w:pStyle w:val="1518"/>
              <w:pBdr/>
              <w:spacing/>
              <w:ind/>
              <w:jc w:val="center"/>
              <w:rPr/>
            </w:pPr>
            <w:r>
              <w:t xml:space="preserve">R²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C850594">
            <w:pPr>
              <w:pStyle w:val="1518"/>
              <w:pBdr/>
              <w:spacing/>
              <w:ind/>
              <w:jc w:val="center"/>
              <w:rPr/>
            </w:pPr>
            <w:r>
              <w:t xml:space="preserve">Обучение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04714CB1">
            <w:pPr>
              <w:pStyle w:val="1518"/>
              <w:pBdr/>
              <w:spacing/>
              <w:ind/>
              <w:jc w:val="center"/>
              <w:rPr/>
            </w:pPr>
            <w:r>
              <w:t xml:space="preserve">3.125000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637D605B">
            <w:pPr>
              <w:pStyle w:val="1518"/>
              <w:pBdr/>
              <w:spacing/>
              <w:ind/>
              <w:jc w:val="center"/>
              <w:rPr/>
            </w:pPr>
            <w:r>
              <w:t xml:space="preserve">1.250202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621827EA">
            <w:pPr>
              <w:pStyle w:val="1518"/>
              <w:pBdr/>
              <w:spacing/>
              <w:ind/>
              <w:jc w:val="center"/>
              <w:rPr/>
            </w:pPr>
            <w:r>
              <w:t xml:space="preserve">0.038462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0C9D3693">
            <w:pPr>
              <w:pStyle w:val="1518"/>
              <w:pBdr/>
              <w:spacing/>
              <w:ind/>
              <w:jc w:val="center"/>
              <w:rPr/>
            </w:pPr>
            <w:r>
              <w:t xml:space="preserve">Тест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7C808817">
            <w:pPr>
              <w:pStyle w:val="1518"/>
              <w:pBdr/>
              <w:spacing/>
              <w:ind/>
              <w:jc w:val="center"/>
              <w:rPr/>
            </w:pPr>
            <w:r>
              <w:t xml:space="preserve">3.232824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C3B9CCA">
            <w:pPr>
              <w:pStyle w:val="1518"/>
              <w:pBdr/>
              <w:spacing/>
              <w:ind/>
              <w:jc w:val="center"/>
              <w:rPr/>
            </w:pPr>
            <w:r>
              <w:t xml:space="preserve">1.533359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0DEC5848">
            <w:pPr>
              <w:pStyle w:val="1518"/>
              <w:pBdr/>
              <w:spacing/>
              <w:ind/>
              <w:jc w:val="center"/>
              <w:rPr/>
            </w:pPr>
            <w:r>
              <w:t xml:space="preserve">-0.790487</w:t>
            </w:r>
            <w:r/>
            <w:r/>
          </w:p>
        </w:tc>
      </w:tr>
    </w:tbl>
    <w:p w14:paraId="16CEF5FD">
      <w:pPr>
        <w:pStyle w:val="1512"/>
        <w:pBdr/>
        <w:spacing/>
        <w:ind/>
        <w:rPr/>
      </w:pPr>
      <w:r>
        <w:t xml:space="preserve">Таблица Г. Задание 2 — метрики регрессии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3CAB9A58">
            <w:pPr>
              <w:pStyle w:val="1518"/>
              <w:pBdr/>
              <w:spacing/>
              <w:ind/>
              <w:jc w:val="center"/>
              <w:rPr/>
            </w:pPr>
            <w:r>
              <w:t xml:space="preserve">Выборка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6BAD227C">
            <w:pPr>
              <w:pStyle w:val="1518"/>
              <w:pBdr/>
              <w:spacing/>
              <w:ind/>
              <w:jc w:val="center"/>
              <w:rPr/>
            </w:pPr>
            <w:r>
              <w:t xml:space="preserve">MSE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13CAD70E">
            <w:pPr>
              <w:pStyle w:val="1518"/>
              <w:pBdr/>
              <w:spacing/>
              <w:ind/>
              <w:jc w:val="center"/>
              <w:rPr/>
            </w:pPr>
            <w:r>
              <w:t xml:space="preserve">MAE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E700E07">
            <w:pPr>
              <w:pStyle w:val="1518"/>
              <w:pBdr/>
              <w:spacing/>
              <w:ind/>
              <w:jc w:val="center"/>
              <w:rPr/>
            </w:pPr>
            <w:r>
              <w:t xml:space="preserve">R²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1595B6E7">
            <w:pPr>
              <w:pStyle w:val="1518"/>
              <w:pBdr/>
              <w:spacing/>
              <w:ind/>
              <w:jc w:val="center"/>
              <w:rPr/>
            </w:pPr>
            <w:r>
              <w:t xml:space="preserve">Обучение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0CB70879">
            <w:pPr>
              <w:pStyle w:val="1518"/>
              <w:pBdr/>
              <w:spacing/>
              <w:ind/>
              <w:jc w:val="center"/>
              <w:rPr/>
            </w:pPr>
            <w:r>
              <w:t xml:space="preserve">0.001451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17F11EF4">
            <w:pPr>
              <w:pStyle w:val="1518"/>
              <w:pBdr/>
              <w:spacing/>
              <w:ind/>
              <w:jc w:val="center"/>
              <w:rPr/>
            </w:pPr>
            <w:r>
              <w:t xml:space="preserve">0.024042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39F2BF3B">
            <w:pPr>
              <w:pStyle w:val="1518"/>
              <w:pBdr/>
              <w:spacing/>
              <w:ind/>
              <w:jc w:val="center"/>
              <w:rPr/>
            </w:pPr>
            <w:r>
              <w:t xml:space="preserve">0.999981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2D13C7E">
            <w:pPr>
              <w:pStyle w:val="1518"/>
              <w:pBdr/>
              <w:spacing/>
              <w:ind/>
              <w:jc w:val="center"/>
              <w:rPr/>
            </w:pPr>
            <w:r>
              <w:t xml:space="preserve">Тест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ABCD90C">
            <w:pPr>
              <w:pStyle w:val="1518"/>
              <w:pBdr/>
              <w:spacing/>
              <w:ind/>
              <w:jc w:val="center"/>
              <w:rPr/>
            </w:pPr>
            <w:r>
              <w:t xml:space="preserve">20.886885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2557AC5">
            <w:pPr>
              <w:pStyle w:val="1518"/>
              <w:pBdr/>
              <w:spacing/>
              <w:ind/>
              <w:jc w:val="center"/>
              <w:rPr/>
            </w:pPr>
            <w:r>
              <w:t xml:space="preserve">3.496865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5C9FF9B">
            <w:pPr>
              <w:pStyle w:val="1518"/>
              <w:pBdr/>
              <w:spacing/>
              <w:ind/>
              <w:jc w:val="center"/>
              <w:rPr/>
            </w:pPr>
            <w:r>
              <w:t xml:space="preserve">0.363120</w:t>
            </w:r>
            <w:r/>
            <w:r/>
          </w:p>
        </w:tc>
      </w:tr>
    </w:tbl>
    <w:p w14:paraId="1E380D23">
      <w:pPr>
        <w:pStyle w:val="1512"/>
        <w:pBdr/>
        <w:spacing/>
        <w:ind/>
        <w:rPr/>
      </w:pPr>
      <w:r>
        <w:t xml:space="preserve">Для задания 1 на обучении: RMSE ≈ 1.7678, на тесте RMSE ≈ 1.7980 (в тех же единицах, что и Y). Для задания 2 на обучении RMSE ≈ 0.0381, на тесте RMSE ≈ 4.5702 (единицы — условные единицы цены синтетического ряда).</w:t>
      </w:r>
      <w:r/>
      <w:r/>
    </w:p>
    <w:p w14:paraId="481B3B07">
      <w:pPr>
        <w:pStyle w:val="1512"/>
        <w:pBdr/>
        <w:spacing/>
        <w:ind/>
        <w:rPr/>
      </w:pPr>
      <w:r>
        <w:t xml:space="preserve">Графическая часть задания 1 (рисунок 1) показывает обучающие точки, тестовые точки и непрерывную кривую, полученную сетью на плотной сетке по оси X</w:t>
      </w:r>
      <w:r>
        <w:t xml:space="preserve">. Такой график аналогичен построению «функциональной зависимости» после обучения. Графическая часть задания 2 (рисунок 2) содержит полный ряд цен с вертикальной линией разделения выборок и отдельный фрагмент сравнения факта и прогноза на тестовом отрезке.</w:t>
      </w:r>
      <w:r/>
      <w:r/>
    </w:p>
    <w:p w14:paraId="70E6E84D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9455" cy="2366364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960981" name="practice02_task1_fi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259454" cy="23663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5.39pt;height:186.3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6F770211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1 — Задание 1: точки обучения и теста, кривая аппроксимации нейронной сети.</w:t>
      </w:r>
      <w:r/>
      <w:r/>
    </w:p>
    <w:p w14:paraId="36A6CCD1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83305" cy="3666644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9614042" name="practice02_task2_forecas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583304" cy="3666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60.89pt;height:288.7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 w14:paraId="5B0E3D0E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2 — Задание 2: ряд цен с границей train/test и сравнение факта с прогнозом на тесте.</w:t>
      </w:r>
      <w:r/>
      <w:r/>
    </w:p>
    <w:p w14:paraId="42FB5439">
      <w:pPr>
        <w:pStyle w:val="1512"/>
        <w:pBdr/>
        <w:spacing/>
        <w:ind w:firstLine="0"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45044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2363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33414" cy="2450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45pt;height:192.9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2362B0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t xml:space="preserve">Рисунок 3 — скриншот консоли </w:t>
      </w:r>
      <w:r/>
      <w:r/>
      <w:r/>
      <w:r/>
      <w:r>
        <w:rPr>
          <w:highlight w:val="none"/>
        </w:rPr>
      </w:r>
    </w:p>
    <w:p w14:paraId="45B6AC84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5-й этап: выводы и направления развития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2E9BE0C6">
      <w:pPr>
        <w:pStyle w:val="1512"/>
        <w:pBdr/>
        <w:spacing/>
        <w:ind/>
        <w:rPr/>
      </w:pPr>
      <w:r>
        <w:t xml:space="preserve">По заданию 1 продемонстрирована способность многослойного перцептрона в режиме регрессии строить гладкую аппроксимацию по малому числу точек. Качество на тесте ограничено не только архитектурой, но и сам</w:t>
      </w:r>
      <w:r>
        <w:t xml:space="preserve">ой постановкой: противоречивые пары при одинаковом x не позволяют интерпретировать результат как восстановление единственной истинной функции. Для учебных целей это полезный пример обсуждения разницы между «обучением на таблице» и «идентификацией функции».</w:t>
      </w:r>
      <w:r/>
      <w:r/>
    </w:p>
    <w:p w14:paraId="6B0A6500">
      <w:pPr>
        <w:pStyle w:val="1512"/>
        <w:pBdr/>
        <w:spacing/>
        <w:ind/>
        <w:rPr/>
      </w:pPr>
      <w:r>
        <w:t xml:space="preserve">По заданию 2 реализован типичный для прогноза акций конвейер: формирование признаков из истории цен и объёма, хронологическое разбиение, об</w:t>
      </w:r>
      <w:r>
        <w:t xml:space="preserve">учение нейросети и визуальная проверка на отложенном участке. Переход на реальные данные потребует учёта пропусков, сплитов и корпоративных событий, выбора горизонта прогноза, возможного ансамбля моделей и отдельной валидации на нескольких временных окнах.</w:t>
      </w:r>
      <w:r/>
      <w:r/>
    </w:p>
    <w:p w14:paraId="76DC6635">
      <w:pPr>
        <w:pStyle w:val="1512"/>
        <w:pBdr/>
        <w:spacing/>
        <w:ind/>
        <w:rPr/>
      </w:pPr>
      <w:r>
        <w:t xml:space="preserve">Возможные улучшения: для задания 1 — явное введение стохастической постановки ил</w:t>
      </w:r>
      <w:r>
        <w:t xml:space="preserve">и классификации при дискретном x; для задания 2 — рекуррентные архитектуры (LSTM, GRU), более богатый набор индикаторов (скользящие средние, MACD), кросс-валидация по времени (time series split), подбор гиперпараметров по сетке или байесовской оптимизации.</w:t>
      </w:r>
      <w:r/>
      <w:r/>
    </w:p>
    <w:p w14:paraId="1492FFB0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Ссылка на исходный код</w:t>
      </w:r>
      <w:r>
        <w:rPr>
          <w:b/>
          <w:bCs/>
          <w:i/>
          <w:iCs/>
        </w:rPr>
      </w:r>
    </w:p>
    <w:p w14:paraId="48E4B255">
      <w:pPr>
        <w:pStyle w:val="1512"/>
        <w:pBdr/>
        <w:spacing/>
        <w:ind/>
        <w:rPr/>
      </w:pPr>
      <w:r>
        <w:t xml:space="preserve">Исходный код решения практической части</w:t>
      </w:r>
      <w:r>
        <w:t xml:space="preserve"> расположен в файле «neuro_math_Yakimov_var5/task_2/practice02.py». </w:t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1462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4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color w:val="000000"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5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7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2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6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3"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5">
    <w:nsid w:val="633148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2BC3D8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246601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715B2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552945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610FC2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5D9BDA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1D9B5C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3D47D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6AC5D5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9D885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33AB4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4E0BBB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7BD5F44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2797C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E9F10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6DF833C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D5380DC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1A2E84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48155D09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1707427D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7">
    <w:nsid w:val="6B56B49B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8">
    <w:nsid w:val="6B9434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2C2B7A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90A2A5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F16A1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01CA8C6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26CD9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5">
    <w:nsid w:val="1EA2CA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94F8C0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87">
    <w:nsid w:val="1BF331C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5E780F8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040E4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1874ED7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1">
    <w:nsid w:val="02B6BA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68864DE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2EF4C78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66DC400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5">
    <w:nsid w:val="63869EC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48E448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77CA07B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8">
    <w:nsid w:val="4D8C2AE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0">
    <w:nsid w:val="28BD98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3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8">
    <w:nsid w:val="64577E96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9">
    <w:nsid w:val="624B4D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4E958A9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6441E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71DA2A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3">
    <w:nsid w:val="117C62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2D45F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6210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30A616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0B6B7D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21DA39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3292A83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F82D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5AB62FC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24C31A4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11BAEC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2">
    <w:nsid w:val="35ADE4CE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9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33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8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43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8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3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8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469"/>
      </w:pPr>
      <w:rPr/>
      <w:start w:val="1"/>
      <w:suff w:val="tab"/>
    </w:lvl>
  </w:abstractNum>
  <w:abstractNum w:abstractNumId="133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6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8">
    <w:nsid w:val="7F52FD8B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9">
    <w:nsid w:val="75CA20A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0">
    <w:nsid w:val="334553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54BABE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2">
    <w:nsid w:val="23ABC3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3">
    <w:nsid w:val="1A5ECE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4">
    <w:nsid w:val="27957E3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504DA55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7723D14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7">
    <w:nsid w:val="0363A5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9">
    <w:nsid w:val="2782C4A7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0">
    <w:nsid w:val="43E706C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5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2">
    <w:nsid w:val="77D102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131B05A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793D743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6">
    <w:nsid w:val="033655D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0EF4FD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2C0CBF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4ABCC3D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5F7920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2">
    <w:nsid w:val="2C2027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7DA97A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5">
    <w:nsid w:val="5A30F5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2E7BC660"/>
    <w:lvl w:ilvl="0">
      <w:isLgl w:val="false"/>
      <w:lvlJc w:val="righ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8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7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0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81">
    <w:nsid w:val="6EDACF3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560044B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2496263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4">
    <w:nsid w:val="6B5E14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6">
    <w:nsid w:val="32AB6B9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8">
    <w:nsid w:val="7E28663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55C63E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0">
    <w:nsid w:val="418EF5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1">
    <w:nsid w:val="7C19936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nsid w:val="44A358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4">
    <w:nsid w:val="630E5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7">
    <w:nsid w:val="2CA1CF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0DB1B70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nsid w:val="6391D3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5C8E16B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nsid w:val="6573E9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2">
    <w:nsid w:val="5CEA95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3">
    <w:nsid w:val="6A66E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nsid w:val="39F41F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5">
    <w:nsid w:val="2DF76A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7">
    <w:nsid w:val="1294DDA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nsid w:val="58E550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4">
    <w:nsid w:val="5391B8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5">
    <w:nsid w:val="7A37390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6">
    <w:nsid w:val="369D800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7">
    <w:nsid w:val="001B40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8">
    <w:nsid w:val="3108CD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9">
    <w:nsid w:val="2CA533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0">
    <w:nsid w:val="466EC3B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nsid w:val="6EBFD1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2">
    <w:nsid w:val="5E65DE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nsid w:val="36D9DFE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4">
    <w:nsid w:val="459E57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nsid w:val="3FBE42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6">
    <w:nsid w:val="255D87B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7">
    <w:nsid w:val="5B725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nsid w:val="1EA6E6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9">
    <w:nsid w:val="01F3A9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0">
    <w:nsid w:val="74E66A7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nsid w:val="3CCAEC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2">
    <w:nsid w:val="2EB000A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nsid w:val="5CDCDB6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4">
    <w:nsid w:val="42F6C2DA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nsid w:val="0FBF92F3"/>
    <w:lvl w:ilvl="0">
      <w:isLgl w:val="false"/>
      <w:lvlJc w:val="left"/>
      <w:lvlText w:val="o"/>
      <w:numFmt w:val="bullet"/>
      <w:pPr>
        <w:pBdr/>
        <w:spacing/>
        <w:ind w:hanging="360" w:left="1418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6">
    <w:nsid w:val="7E2CF1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nsid w:val="3DD4BA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nsid w:val="542DFB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9">
    <w:nsid w:val="244A857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nsid w:val="32B093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1">
    <w:nsid w:val="533DFD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nsid w:val="0C4F653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3">
    <w:nsid w:val="7F167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nsid w:val="41700DD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nsid w:val="27882B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6">
    <w:nsid w:val="58FDCF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nsid w:val="6FF154D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8">
    <w:nsid w:val="1521CB9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nsid w:val="203CB08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0">
    <w:nsid w:val="3E318DD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nsid w:val="53F4DD7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2">
    <w:nsid w:val="05E6B0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3">
    <w:nsid w:val="20737A3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nsid w:val="644FC3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nsid w:val="62CA13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nsid w:val="28F23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7">
    <w:nsid w:val="1292440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8">
    <w:nsid w:val="294658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9">
    <w:nsid w:val="00E846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0">
    <w:nsid w:val="65F2E1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1">
    <w:nsid w:val="08C20A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nsid w:val="430EDB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nsid w:val="425783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7">
    <w:nsid w:val="434767D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8">
    <w:nsid w:val="1F0245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9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nsid w:val="3BAB18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nsid w:val="60F4A7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2">
    <w:nsid w:val="00EC4D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  <w:num w:numId="265">
    <w:abstractNumId w:val="264"/>
  </w:num>
  <w:num w:numId="266">
    <w:abstractNumId w:val="265"/>
  </w:num>
  <w:num w:numId="267">
    <w:abstractNumId w:val="266"/>
  </w:num>
  <w:num w:numId="268">
    <w:abstractNumId w:val="267"/>
  </w:num>
  <w:num w:numId="269">
    <w:abstractNumId w:val="268"/>
  </w:num>
  <w:num w:numId="270">
    <w:abstractNumId w:val="269"/>
  </w:num>
  <w:num w:numId="271">
    <w:abstractNumId w:val="270"/>
  </w:num>
  <w:num w:numId="272">
    <w:abstractNumId w:val="271"/>
  </w:num>
  <w:num w:numId="273">
    <w:abstractNumId w:val="2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Table Grid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Table Grid Light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Plain Table 1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Plain Table 2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Plain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Plain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Plain Table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Grid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Grid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Grid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Grid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Grid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Grid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Grid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Grid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Grid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Grid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Grid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Grid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Grid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Grid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Grid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Grid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Grid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Grid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Grid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Grid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Grid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Grid Table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Grid Table 4 - Accent 1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Grid Table 4 - Accent 2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Grid Table 4 - Accent 3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Grid Table 4 - Accent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Grid Table 4 - Accent 5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Grid Table 4 - Accent 6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Grid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Grid Table 5 Dark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Grid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Grid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Grid Table 5 Dark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Grid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Grid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Grid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Grid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Grid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Grid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Grid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Grid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Grid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Grid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Grid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Grid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Grid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Grid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Grid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Grid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List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List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List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List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List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List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List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List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List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List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List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List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List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List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List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List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List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List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List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List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List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List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List Table 4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List Table 4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List Table 4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List Table 4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List Table 4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List Table 4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List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List Table 5 Dark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List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List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List Table 5 Dark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List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List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List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List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List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List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List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List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List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List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List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List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List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List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List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List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Bordered &amp; 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Bordered &amp; 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Bordered &amp; 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Bordered &amp; 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Bordered &amp; 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Bordered &amp; 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Bordered &amp; 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Bordered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Bordered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Bordered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Bordered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Bordered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Bordered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Bordered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1">
    <w:name w:val="Heading 7"/>
    <w:basedOn w:val="1514"/>
    <w:next w:val="1486"/>
    <w:link w:val="1442"/>
    <w:uiPriority w:val="9"/>
    <w:unhideWhenUsed/>
    <w:qFormat/>
    <w:pPr>
      <w:suppressLineNumbers w:val="false"/>
      <w:pBdr/>
      <w:spacing/>
      <w:ind/>
    </w:pPr>
    <w:rPr>
      <w:rtl w:val="0"/>
    </w:rPr>
  </w:style>
  <w:style w:type="paragraph" w:styleId="1432">
    <w:name w:val="Heading 8"/>
    <w:basedOn w:val="1516"/>
    <w:next w:val="1486"/>
    <w:link w:val="1443"/>
    <w:uiPriority w:val="9"/>
    <w:unhideWhenUsed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433">
    <w:name w:val="Heading 9"/>
    <w:basedOn w:val="1486"/>
    <w:next w:val="1486"/>
    <w:link w:val="14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34" w:default="1">
    <w:name w:val="Default Paragraph Font"/>
    <w:uiPriority w:val="1"/>
    <w:semiHidden/>
    <w:unhideWhenUsed/>
    <w:pPr>
      <w:pBdr/>
      <w:spacing/>
      <w:ind/>
    </w:pPr>
  </w:style>
  <w:style w:type="numbering" w:styleId="1435" w:default="1">
    <w:name w:val="No List"/>
    <w:uiPriority w:val="99"/>
    <w:semiHidden/>
    <w:unhideWhenUsed/>
    <w:pPr>
      <w:pBdr/>
      <w:spacing/>
      <w:ind/>
    </w:pPr>
  </w:style>
  <w:style w:type="character" w:styleId="1436">
    <w:name w:val="Heading 1 Char"/>
    <w:basedOn w:val="1434"/>
    <w:link w:val="14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37">
    <w:name w:val="Heading 2 Char"/>
    <w:basedOn w:val="1434"/>
    <w:link w:val="14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38">
    <w:name w:val="Heading 3 Char"/>
    <w:basedOn w:val="1434"/>
    <w:link w:val="14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39">
    <w:name w:val="Heading 4 Char"/>
    <w:basedOn w:val="1434"/>
    <w:link w:val="14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440">
    <w:name w:val="Heading 5 Char"/>
    <w:basedOn w:val="1434"/>
    <w:link w:val="14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441">
    <w:name w:val="Heading 6 Char"/>
    <w:basedOn w:val="1434"/>
    <w:link w:val="14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42">
    <w:name w:val="Heading 7 Char"/>
    <w:link w:val="1431"/>
    <w:uiPriority w:val="9"/>
    <w:pPr>
      <w:pBdr/>
      <w:spacing/>
      <w:ind/>
    </w:pPr>
    <w:rPr>
      <w:rtl w:val="0"/>
    </w:rPr>
  </w:style>
  <w:style w:type="character" w:styleId="1443">
    <w:name w:val="Heading 8 Char"/>
    <w:link w:val="1432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444">
    <w:name w:val="Heading 9 Char"/>
    <w:basedOn w:val="1434"/>
    <w:link w:val="14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45">
    <w:name w:val="Title Char"/>
    <w:basedOn w:val="1434"/>
    <w:link w:val="14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446">
    <w:name w:val="Subtitle Char"/>
    <w:basedOn w:val="1434"/>
    <w:link w:val="14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447">
    <w:name w:val="Quote"/>
    <w:basedOn w:val="1486"/>
    <w:next w:val="1486"/>
    <w:link w:val="14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448">
    <w:name w:val="Quote Char"/>
    <w:basedOn w:val="1434"/>
    <w:link w:val="14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449">
    <w:name w:val="List Paragraph"/>
    <w:basedOn w:val="1486"/>
    <w:uiPriority w:val="34"/>
    <w:qFormat/>
    <w:pPr>
      <w:pBdr/>
      <w:spacing/>
      <w:ind w:left="720"/>
      <w:contextualSpacing w:val="true"/>
    </w:pPr>
  </w:style>
  <w:style w:type="character" w:styleId="1450">
    <w:name w:val="Intense Emphasis"/>
    <w:basedOn w:val="14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451">
    <w:name w:val="Intense Quote"/>
    <w:basedOn w:val="1486"/>
    <w:next w:val="1486"/>
    <w:link w:val="14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52">
    <w:name w:val="Intense Quote Char"/>
    <w:basedOn w:val="1434"/>
    <w:link w:val="14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453">
    <w:name w:val="Intense Reference"/>
    <w:basedOn w:val="14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454">
    <w:name w:val="No Spacing"/>
    <w:basedOn w:val="1486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character" w:styleId="1455">
    <w:name w:val="Subtle Emphasis"/>
    <w:basedOn w:val="14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456">
    <w:name w:val="Emphasis"/>
    <w:basedOn w:val="1434"/>
    <w:uiPriority w:val="20"/>
    <w:qFormat/>
    <w:pPr>
      <w:pBdr/>
      <w:spacing/>
      <w:ind/>
    </w:pPr>
    <w:rPr>
      <w:i/>
      <w:iCs/>
    </w:rPr>
  </w:style>
  <w:style w:type="character" w:styleId="1457">
    <w:name w:val="Strong"/>
    <w:basedOn w:val="1434"/>
    <w:uiPriority w:val="22"/>
    <w:qFormat/>
    <w:pPr>
      <w:pBdr/>
      <w:spacing/>
      <w:ind/>
    </w:pPr>
    <w:rPr>
      <w:b/>
      <w:bCs/>
    </w:rPr>
  </w:style>
  <w:style w:type="character" w:styleId="1458">
    <w:name w:val="Subtle Reference"/>
    <w:basedOn w:val="14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459">
    <w:name w:val="Book Title"/>
    <w:basedOn w:val="14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460">
    <w:name w:val="Header"/>
    <w:basedOn w:val="1486"/>
    <w:link w:val="14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1">
    <w:name w:val="Header Char"/>
    <w:basedOn w:val="1434"/>
    <w:link w:val="1460"/>
    <w:uiPriority w:val="99"/>
    <w:pPr>
      <w:pBdr/>
      <w:spacing/>
      <w:ind/>
    </w:pPr>
  </w:style>
  <w:style w:type="paragraph" w:styleId="1462">
    <w:name w:val="Footer"/>
    <w:basedOn w:val="1486"/>
    <w:link w:val="14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3">
    <w:name w:val="Footer Char"/>
    <w:basedOn w:val="1434"/>
    <w:link w:val="1462"/>
    <w:uiPriority w:val="99"/>
    <w:pPr>
      <w:pBdr/>
      <w:spacing/>
      <w:ind/>
    </w:pPr>
  </w:style>
  <w:style w:type="paragraph" w:styleId="1464">
    <w:name w:val="Caption"/>
    <w:basedOn w:val="1486"/>
    <w:next w:val="14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465">
    <w:name w:val="footnote text"/>
    <w:basedOn w:val="1486"/>
    <w:link w:val="14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6">
    <w:name w:val="Footnote Text Char"/>
    <w:basedOn w:val="1434"/>
    <w:link w:val="1465"/>
    <w:uiPriority w:val="99"/>
    <w:semiHidden/>
    <w:pPr>
      <w:pBdr/>
      <w:spacing/>
      <w:ind/>
    </w:pPr>
    <w:rPr>
      <w:sz w:val="20"/>
      <w:szCs w:val="20"/>
    </w:rPr>
  </w:style>
  <w:style w:type="character" w:styleId="1467">
    <w:name w:val="foot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paragraph" w:styleId="1468">
    <w:name w:val="endnote text"/>
    <w:basedOn w:val="1486"/>
    <w:link w:val="14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9">
    <w:name w:val="Endnote Text Char"/>
    <w:basedOn w:val="1434"/>
    <w:link w:val="1468"/>
    <w:uiPriority w:val="99"/>
    <w:semiHidden/>
    <w:pPr>
      <w:pBdr/>
      <w:spacing/>
      <w:ind/>
    </w:pPr>
    <w:rPr>
      <w:sz w:val="20"/>
      <w:szCs w:val="20"/>
    </w:rPr>
  </w:style>
  <w:style w:type="character" w:styleId="1470">
    <w:name w:val="end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character" w:styleId="1471">
    <w:name w:val="Hyperlink"/>
    <w:basedOn w:val="14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472">
    <w:name w:val="FollowedHyperlink"/>
    <w:basedOn w:val="14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473">
    <w:name w:val="toc 1"/>
    <w:basedOn w:val="1486"/>
    <w:next w:val="1486"/>
    <w:uiPriority w:val="39"/>
    <w:unhideWhenUsed/>
    <w:pPr>
      <w:pBdr/>
      <w:spacing w:after="100"/>
      <w:ind/>
    </w:pPr>
  </w:style>
  <w:style w:type="paragraph" w:styleId="1474">
    <w:name w:val="toc 2"/>
    <w:basedOn w:val="1486"/>
    <w:next w:val="1486"/>
    <w:uiPriority w:val="39"/>
    <w:unhideWhenUsed/>
    <w:pPr>
      <w:pBdr/>
      <w:spacing w:after="100"/>
      <w:ind w:left="220"/>
    </w:pPr>
  </w:style>
  <w:style w:type="paragraph" w:styleId="1475">
    <w:name w:val="toc 3"/>
    <w:basedOn w:val="1486"/>
    <w:next w:val="1486"/>
    <w:uiPriority w:val="39"/>
    <w:unhideWhenUsed/>
    <w:pPr>
      <w:pBdr/>
      <w:spacing w:after="100"/>
      <w:ind w:left="440"/>
    </w:pPr>
  </w:style>
  <w:style w:type="paragraph" w:styleId="1476">
    <w:name w:val="toc 4"/>
    <w:basedOn w:val="1486"/>
    <w:next w:val="1486"/>
    <w:uiPriority w:val="39"/>
    <w:unhideWhenUsed/>
    <w:pPr>
      <w:pBdr/>
      <w:spacing w:after="100"/>
      <w:ind w:left="660"/>
    </w:pPr>
  </w:style>
  <w:style w:type="paragraph" w:styleId="1477">
    <w:name w:val="toc 5"/>
    <w:basedOn w:val="1486"/>
    <w:next w:val="1486"/>
    <w:uiPriority w:val="39"/>
    <w:unhideWhenUsed/>
    <w:pPr>
      <w:pBdr/>
      <w:spacing w:after="100"/>
      <w:ind w:left="880"/>
    </w:pPr>
  </w:style>
  <w:style w:type="paragraph" w:styleId="1478">
    <w:name w:val="toc 6"/>
    <w:basedOn w:val="1486"/>
    <w:next w:val="1486"/>
    <w:uiPriority w:val="39"/>
    <w:unhideWhenUsed/>
    <w:pPr>
      <w:pBdr/>
      <w:spacing w:after="100"/>
      <w:ind w:left="1100"/>
    </w:pPr>
  </w:style>
  <w:style w:type="paragraph" w:styleId="1479">
    <w:name w:val="toc 7"/>
    <w:basedOn w:val="1486"/>
    <w:next w:val="1486"/>
    <w:uiPriority w:val="39"/>
    <w:unhideWhenUsed/>
    <w:pPr>
      <w:pBdr/>
      <w:spacing w:after="100"/>
      <w:ind w:left="1320"/>
    </w:pPr>
  </w:style>
  <w:style w:type="paragraph" w:styleId="1480">
    <w:name w:val="toc 8"/>
    <w:basedOn w:val="1486"/>
    <w:next w:val="1486"/>
    <w:uiPriority w:val="39"/>
    <w:unhideWhenUsed/>
    <w:pPr>
      <w:pBdr/>
      <w:spacing w:after="100"/>
      <w:ind w:left="1540"/>
    </w:pPr>
  </w:style>
  <w:style w:type="paragraph" w:styleId="1481">
    <w:name w:val="toc 9"/>
    <w:basedOn w:val="1486"/>
    <w:next w:val="1486"/>
    <w:uiPriority w:val="39"/>
    <w:unhideWhenUsed/>
    <w:pPr>
      <w:pBdr/>
      <w:spacing w:after="100"/>
      <w:ind w:left="1760"/>
    </w:pPr>
  </w:style>
  <w:style w:type="character" w:styleId="1482">
    <w:name w:val="Placeholder Text"/>
    <w:basedOn w:val="1434"/>
    <w:uiPriority w:val="99"/>
    <w:semiHidden/>
    <w:pPr>
      <w:pBdr/>
      <w:spacing/>
      <w:ind/>
    </w:pPr>
    <w:rPr>
      <w:color w:val="666666"/>
    </w:rPr>
  </w:style>
  <w:style w:type="paragraph" w:styleId="1483">
    <w:name w:val="TOC Heading"/>
    <w:uiPriority w:val="39"/>
    <w:unhideWhenUsed/>
    <w:pPr>
      <w:pBdr/>
      <w:spacing/>
      <w:ind/>
    </w:pPr>
  </w:style>
  <w:style w:type="paragraph" w:styleId="1484">
    <w:name w:val="table of figures"/>
    <w:basedOn w:val="1486"/>
    <w:next w:val="1486"/>
    <w:uiPriority w:val="99"/>
    <w:unhideWhenUsed/>
    <w:pPr>
      <w:pBdr/>
      <w:spacing w:after="0" w:afterAutospacing="0"/>
      <w:ind/>
    </w:pPr>
  </w:style>
  <w:style w:type="table" w:styleId="148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86" w:default="1">
    <w:name w:val="Normal"/>
    <w:pPr>
      <w:pBdr/>
      <w:spacing/>
      <w:ind/>
    </w:pPr>
  </w:style>
  <w:style w:type="paragraph" w:styleId="1487">
    <w:name w:val="Heading 1"/>
    <w:basedOn w:val="1486"/>
    <w:next w:val="148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1488">
    <w:name w:val="Heading 2"/>
    <w:basedOn w:val="1486"/>
    <w:next w:val="1486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1489">
    <w:name w:val="Heading 3"/>
    <w:basedOn w:val="1486"/>
    <w:next w:val="1486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1490">
    <w:name w:val="Heading 4"/>
    <w:basedOn w:val="1486"/>
    <w:next w:val="1486"/>
    <w:pPr>
      <w:keepNext w:val="false"/>
      <w:keepLines w:val="false"/>
      <w:pageBreakBefore w:val="false"/>
      <w:numPr>
        <w:ilvl w:val="2"/>
        <w:numId w:val="130"/>
      </w:numPr>
      <w:suppressLineNumbers w:val="false"/>
      <w:pBdr/>
      <w:spacing w:after="0" w:before="0" w:line="360" w:lineRule="auto"/>
      <w:ind w:hanging="360" w:left="2160"/>
      <w:jc w:val="both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  <w:rtl w:val="0"/>
      <w:lang w:val="ru-RU"/>
    </w:rPr>
  </w:style>
  <w:style w:type="paragraph" w:styleId="1491">
    <w:name w:val="Heading 5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1492">
    <w:name w:val="Heading 6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1493">
    <w:name w:val="Title"/>
    <w:basedOn w:val="1486"/>
    <w:next w:val="148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1494">
    <w:name w:val="Subtitle"/>
    <w:basedOn w:val="1486"/>
    <w:next w:val="148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1495">
    <w:name w:val="StGen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StGen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StGen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StGen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StGen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StGen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StGen6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StGen7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StGen8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StGen9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StGen1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StGen1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StGen1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StGen1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StGen1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StGen1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11" w:customStyle="1">
    <w:name w:val="Text_1_character"/>
    <w:link w:val="1512"/>
    <w:pPr>
      <w:pBdr/>
      <w:spacing/>
      <w:ind/>
    </w:pPr>
    <w:rPr>
      <w:rFonts w:ascii="Times New Roman" w:hAnsi="Times New Roman" w:eastAsia="Times New Roman" w:cs="Times New Roman"/>
      <w:sz w:val="28"/>
      <w:szCs w:val="28"/>
      <w:rtl w:val="0"/>
    </w:rPr>
  </w:style>
  <w:style w:type="paragraph" w:styleId="1512" w:customStyle="1">
    <w:name w:val="Text_1"/>
    <w:basedOn w:val="1486"/>
    <w:link w:val="1511"/>
    <w:qFormat/>
    <w:pPr>
      <w:suppressLineNumbers w:val="false"/>
      <w:pBdr/>
      <w:spacing w:after="0" w:before="0" w:line="360" w:lineRule="auto"/>
      <w:ind w:firstLine="720"/>
      <w:jc w:val="both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3" w:customStyle="1">
    <w:name w:val="HEADER_1_character"/>
    <w:link w:val="1514"/>
    <w:pPr>
      <w:pBdr/>
      <w:spacing/>
      <w:ind/>
    </w:pPr>
    <w:rPr>
      <w:rtl w:val="0"/>
    </w:rPr>
  </w:style>
  <w:style w:type="paragraph" w:styleId="1514" w:customStyle="1">
    <w:name w:val="HEADER_1"/>
    <w:basedOn w:val="1488"/>
    <w:link w:val="1513"/>
    <w:qFormat/>
    <w:pPr>
      <w:numPr>
        <w:ilvl w:val="0"/>
        <w:numId w:val="54"/>
      </w:numPr>
      <w:suppressLineNumbers w:val="false"/>
      <w:pBdr/>
      <w:spacing w:after="0" w:afterAutospacing="0" w:before="0" w:line="360" w:lineRule="auto"/>
      <w:ind w:hanging="360" w:left="720"/>
      <w:jc w:val="both"/>
      <w:outlineLvl w:val="0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5" w:customStyle="1">
    <w:name w:val="HEADER_2_character"/>
    <w:link w:val="1516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16" w:customStyle="1">
    <w:name w:val="HEADER_2"/>
    <w:basedOn w:val="1489"/>
    <w:link w:val="1515"/>
    <w:qFormat/>
    <w:pPr>
      <w:keepNext w:val="false"/>
      <w:keepLines w:val="false"/>
      <w:numPr>
        <w:ilvl w:val="1"/>
        <w:numId w:val="54"/>
      </w:numPr>
      <w:suppressLineNumbers w:val="false"/>
      <w:pBdr/>
      <w:spacing w:after="0" w:before="0" w:beforeAutospacing="0" w:line="360" w:lineRule="auto"/>
      <w:ind w:hanging="360" w:left="1440"/>
      <w:jc w:val="both"/>
      <w:outlineLvl w:val="1"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517" w:customStyle="1">
    <w:name w:val="FOR_TABLE_character"/>
    <w:link w:val="1518"/>
    <w:pPr>
      <w:pBdr/>
      <w:spacing/>
      <w:ind/>
    </w:pPr>
    <w:rPr>
      <w:rtl w:val="0"/>
    </w:rPr>
  </w:style>
  <w:style w:type="paragraph" w:styleId="1518" w:customStyle="1">
    <w:name w:val="FOR_TABLE"/>
    <w:basedOn w:val="1486"/>
    <w:link w:val="1517"/>
    <w:qFormat/>
    <w:pPr>
      <w:suppressLineNumbers w:val="false"/>
      <w:pBdr/>
      <w:shd w:val="clear" w:color="auto" w:fill="ffffff"/>
      <w:spacing w:after="0" w:before="0" w:line="240" w:lineRule="auto"/>
      <w:ind/>
      <w:jc w:val="both"/>
    </w:pPr>
    <w:rPr>
      <w:rFonts w:ascii="Times New Roman" w:hAnsi="Times New Roman" w:eastAsia="Times New Roman" w:cs="Times New Roman"/>
      <w:b w:val="0"/>
      <w:bCs w:val="0"/>
      <w:color w:val="002339"/>
      <w:sz w:val="24"/>
      <w:szCs w:val="24"/>
      <w:rtl w:val="0"/>
    </w:rPr>
  </w:style>
  <w:style w:type="character" w:styleId="1519" w:customStyle="1">
    <w:name w:val="HEADER_3_character"/>
    <w:link w:val="1520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20" w:customStyle="1">
    <w:name w:val="HEADER_3"/>
    <w:basedOn w:val="1516"/>
    <w:link w:val="1519"/>
    <w:qFormat/>
    <w:pPr>
      <w:numPr>
        <w:ilvl w:val="2"/>
        <w:numId w:val="125"/>
      </w:num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13</cp:revision>
  <dcterms:modified xsi:type="dcterms:W3CDTF">2026-05-08T05:56:56Z</dcterms:modified>
</cp:coreProperties>
</file>