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Якушевич</w:t>
      </w:r>
      <w:r>
        <w:t xml:space="preserve"> </w:t>
      </w:r>
      <w:r>
        <w:t xml:space="preserve">Артём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[1].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программу, которая должна определить вид шифротекста при известном ключе и известном открытом тексте</w:t>
      </w:r>
    </w:p>
    <w:p>
      <w:pPr>
        <w:numPr>
          <w:ilvl w:val="0"/>
          <w:numId w:val="1001"/>
        </w:numPr>
        <w:pStyle w:val="Compact"/>
      </w:pPr>
      <w:r>
        <w:t xml:space="preserve">Также эта программа должна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 функцию шифрования, которая определяет вид шифротекста при известном ключе и известном открытом тексте</w:t>
      </w:r>
      <w:r>
        <w:t xml:space="preserve"> </w:t>
      </w:r>
      <w:r>
        <w:t xml:space="preserve">“</w:t>
      </w:r>
      <w:r>
        <w:t xml:space="preserve">С Новы Годом, друзья!</w:t>
      </w:r>
      <w:r>
        <w:t xml:space="preserve">”</w:t>
      </w:r>
      <w:r>
        <w:t xml:space="preserve">. Ниже представлены функция, шифрующая данные (рис -</w:t>
      </w:r>
      <w:r>
        <w:t xml:space="preserve"> </w:t>
      </w:r>
      <w:r>
        <w:t xml:space="preserve">@fig:001</w:t>
      </w:r>
      <w:r>
        <w:t xml:space="preserve">), а также работа данной функции (рис -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3" w:name="fig:001"/>
      <w:r>
        <w:drawing>
          <wp:inline>
            <wp:extent cx="5334000" cy="3690290"/>
            <wp:effectExtent b="0" l="0" r="0" t="0"/>
            <wp:docPr descr="Функция, шифрующая данные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0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Функция, шифрующая данные</w:t>
      </w:r>
    </w:p>
    <w:p>
      <w:pPr>
        <w:pStyle w:val="CaptionedFigure"/>
      </w:pPr>
      <w:bookmarkStart w:id="25" w:name="fig:002"/>
      <w:r>
        <w:drawing>
          <wp:inline>
            <wp:extent cx="3686475" cy="1376412"/>
            <wp:effectExtent b="0" l="0" r="0" t="0"/>
            <wp:docPr descr="Результат работы функции, шифрующей данны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75" cy="1376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Результат работы функции, шифрующей данные</w:t>
      </w:r>
    </w:p>
    <w:p>
      <w:pPr>
        <w:numPr>
          <w:ilvl w:val="0"/>
          <w:numId w:val="1003"/>
        </w:numPr>
        <w:pStyle w:val="Compact"/>
      </w:pPr>
      <w:r>
        <w:t xml:space="preserve">Написал функцию дешифровки, которая определяет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 (рис -</w:t>
      </w:r>
      <w:r>
        <w:t xml:space="preserve"> </w:t>
      </w:r>
      <w:r>
        <w:t xml:space="preserve">@fig:003</w:t>
      </w:r>
      <w:r>
        <w:t xml:space="preserve">). А также представил результаты работы программы (рис -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bookmarkStart w:id="27" w:name="fig:003"/>
      <w:r>
        <w:drawing>
          <wp:inline>
            <wp:extent cx="4398745" cy="616016"/>
            <wp:effectExtent b="0" l="0" r="0" t="0"/>
            <wp:docPr descr="Функция, дешифрующая данны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61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Функция, дешифрующая данные</w:t>
      </w:r>
    </w:p>
    <w:p>
      <w:pPr>
        <w:pStyle w:val="CaptionedFigure"/>
      </w:pPr>
      <w:bookmarkStart w:id="29" w:name="fig:004"/>
      <w:r>
        <w:drawing>
          <wp:inline>
            <wp:extent cx="5334000" cy="4450535"/>
            <wp:effectExtent b="0" l="0" r="0" t="0"/>
            <wp:docPr descr="Результат работы функции, дешифрующей данны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0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Результат работы функции, дешифрующей данные</w:t>
      </w:r>
    </w:p>
    <w:p>
      <w:pPr>
        <w:pStyle w:val="BodyText"/>
      </w:pPr>
      <w:r>
        <w:t xml:space="preserve">Сравнение ключей, полученных с помощью первой и второй функций (рис -</w:t>
      </w:r>
      <w:r>
        <w:t xml:space="preserve"> </w:t>
      </w:r>
      <w:r>
        <w:t xml:space="preserve">@fig:005</w:t>
      </w:r>
      <w:r>
        <w:t xml:space="preserve">).</w:t>
      </w:r>
    </w:p>
    <w:p>
      <w:pPr>
        <w:pStyle w:val="CaptionedFigure"/>
      </w:pPr>
      <w:bookmarkStart w:id="31" w:name="fig:005"/>
      <w:r>
        <w:drawing>
          <wp:inline>
            <wp:extent cx="5334000" cy="4494572"/>
            <wp:effectExtent b="0" l="0" r="0" t="0"/>
            <wp:docPr descr="Сравнение ключей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4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Сравнение ключей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 на практике применение режима однократного гаммирования.</w:t>
      </w:r>
    </w:p>
    <w:bookmarkEnd w:id="33"/>
    <w:bookmarkStart w:id="34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Одократное гаммирование - выполнение операции XOR между элементами гаммы и элементами подлежащего сокрытию текста.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Недостатки однократного гаммирования: Абсолютная стойкость шифра доказана только для случая,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Преимущества однократного гаммирования: во-первых, такой способ симметричен, т.е. двойное прибавление одной и той же величины по модулю 2 восстанавливает исходное значение; во-вторых, шифрование и расшифрование может быть выполнено одной и той же программой. Наконец, Криптоалгоритм не даёт никакой информации об открытом тексте: при известном зашифрованном сообщении C все различные ключевые последовательности K возможны и равновероятны, а значит, возможны и любые сообщения P.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Длина открытого текста должна совпадать с длиной ключа, т.к. если ключ короче текста, то операция XOR будет применена не ко всем элементам и конец сообщения будет не закодирован, а если ключ будет длиннее, то появится неоднозначность декодирования.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Операция XOR используется в режиме однократного гаммирования. Наложение гаммы по сути представляет собой выполнение побитовой операции сложения по модулю 2, т.е. мы должны сложить каждый элемент гаммы с соответствующим элементом ключа. Данная операция является симметричной, так как прибавление одной и той же величины по модулю 2 восстанавливает исходное значение.</w:t>
      </w:r>
    </w:p>
    <w:p>
      <w:pPr>
        <w:numPr>
          <w:ilvl w:val="0"/>
          <w:numId w:val="1004"/>
        </w:numPr>
        <w:pStyle w:val="Compact"/>
      </w:pPr>
      <w:r>
        <w:t xml:space="preserve">Получение шифротекста по открытому тексту и ключу: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⊕</m:t>
        </m:r>
        <m:sSub>
          <m:e>
            <m:r>
              <m:t>K</m:t>
            </m:r>
          </m:e>
          <m:sub>
            <m:r>
              <m:t>i</m:t>
            </m:r>
          </m:sub>
        </m:sSub>
      </m:oMath>
      <w:r>
        <w:br/>
      </w:r>
    </w:p>
    <w:p>
      <w:pPr>
        <w:numPr>
          <w:ilvl w:val="0"/>
          <w:numId w:val="1004"/>
        </w:numPr>
        <w:pStyle w:val="Compact"/>
      </w:pPr>
      <w:r>
        <w:t xml:space="preserve">Получение ключа по окрытому тексту и шифротексту: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i</m:t>
            </m:r>
          </m:sub>
        </m:sSub>
      </m:oMath>
      <w:r>
        <w:br/>
      </w:r>
    </w:p>
    <w:p>
      <w:pPr>
        <w:numPr>
          <w:ilvl w:val="0"/>
          <w:numId w:val="1004"/>
        </w:numPr>
        <w:pStyle w:val="Compact"/>
      </w:pPr>
      <w:r>
        <w:t xml:space="preserve">Необходимы и достаточные условия абсолютной стойкости шифра: полная случайность ключа; равенство длин ключа и открытого текста; однократное использование ключа.</w:t>
      </w:r>
    </w:p>
    <w:bookmarkEnd w:id="34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r>
        <w:t xml:space="preserve">Кулябов Д. С., Королькова А. В., Геворкян М. Н. Информационная безопасность компьютерных сетей. Лабораторная работа № 7. Элементы криптографии. Однократное гаммирование.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Якушевич Артём Юрьевич</dc:creator>
  <dc:language>ru-RU</dc:language>
  <cp:keywords/>
  <dcterms:created xsi:type="dcterms:W3CDTF">2021-12-10T20:05:29Z</dcterms:created>
  <dcterms:modified xsi:type="dcterms:W3CDTF">2021-12-10T20:05:29Z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Два пользователя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