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Якушевич</w:t>
      </w:r>
      <w:r>
        <w:t xml:space="preserve"> </w:t>
      </w:r>
      <w:r>
        <w:t xml:space="preserve">Артём</w:t>
      </w:r>
      <w:r>
        <w:t xml:space="preserve"> </w:t>
      </w:r>
      <w:r>
        <w:t xml:space="preserve">Юрьевич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модель боевых действий Ланчестера.</w:t>
      </w:r>
    </w:p>
    <w:bookmarkEnd w:id="20"/>
    <w:bookmarkStart w:id="23" w:name="задание"/>
    <w:p>
      <w:pPr>
        <w:pStyle w:val="Heading1"/>
      </w:pPr>
      <w:r>
        <w:t xml:space="preserve">Задание</w:t>
      </w:r>
    </w:p>
    <w:bookmarkStart w:id="21" w:name="X9c77d31511e4ece93e450cbea58f4e620d96e77"/>
    <w:p>
      <w:pPr>
        <w:pStyle w:val="Heading2"/>
      </w:pPr>
      <w:r>
        <w:t xml:space="preserve">1. Построить графики изменения численности войск армии Х и армии У для модели боевых действий между регулярными войсками.</w:t>
      </w:r>
    </w:p>
    <w:bookmarkEnd w:id="21"/>
    <w:bookmarkStart w:id="22" w:name="X01dc1fd6b6da2c61dd6dfeffb8075fe04c48de9"/>
    <w:p>
      <w:pPr>
        <w:pStyle w:val="Heading2"/>
      </w:pPr>
      <w:r>
        <w:t xml:space="preserve">2. Построить графики изменения численности войск армии Х и армии У для модели ведения боевых действий с участием регулярных войск и партизанских отрядов.</w:t>
      </w:r>
    </w:p>
    <w:bookmarkEnd w:id="22"/>
    <w:bookmarkEnd w:id="23"/>
    <w:bookmarkStart w:id="4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4" w:name="условия-задачи"/>
    <w:p>
      <w:pPr>
        <w:pStyle w:val="Heading2"/>
      </w:pPr>
      <w:r>
        <w:t xml:space="preserve">Условия задачи</w:t>
      </w:r>
    </w:p>
    <w:p>
      <w:pPr>
        <w:numPr>
          <w:ilvl w:val="0"/>
          <w:numId w:val="1001"/>
        </w:numPr>
        <w:pStyle w:val="Compact"/>
      </w:pPr>
      <w:r>
        <w:t xml:space="preserve">Рассмотрим модель боевых действий Ланчестера. В противоборстве будут принимать участие как регулярные войска, так и партизанские отряды. Рассмотрим два случая ведения боевых действий:</w:t>
      </w:r>
    </w:p>
    <w:p>
      <w:pPr>
        <w:numPr>
          <w:ilvl w:val="0"/>
          <w:numId w:val="1002"/>
        </w:numPr>
      </w:pPr>
      <w:r>
        <w:t xml:space="preserve">Боевые действия между регулярными войсками.</w:t>
      </w:r>
    </w:p>
    <w:p>
      <w:pPr>
        <w:numPr>
          <w:ilvl w:val="0"/>
          <w:numId w:val="1002"/>
        </w:numPr>
      </w:pPr>
      <w:r>
        <w:t xml:space="preserve">Боевые действия с участием регулярных войск и партизанских отрядов.</w:t>
      </w:r>
    </w:p>
    <w:p>
      <w:pPr>
        <w:numPr>
          <w:ilvl w:val="0"/>
          <w:numId w:val="1003"/>
        </w:numPr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 x(t) и y(t).</w:t>
      </w:r>
      <w:r>
        <w:t xml:space="preserve"> </w:t>
      </w:r>
      <w:r>
        <w:t xml:space="preserve">В начальный момент времени страна Х имеет армию численностью 222 000 человек, а в распоряжении страны У армия численностью в 229 000 человек.</w:t>
      </w:r>
      <w:r>
        <w:t xml:space="preserve"> </w:t>
      </w:r>
      <w:r>
        <w:t xml:space="preserve">Для упрощения модели считаем, что коэффициенты a, b, c, h постоянны.</w:t>
      </w:r>
    </w:p>
    <w:p>
      <w:pPr>
        <w:numPr>
          <w:ilvl w:val="0"/>
          <w:numId w:val="1003"/>
        </w:numPr>
      </w:pPr>
      <w:r>
        <w:t xml:space="preserve">Графики численности войск необходимы для следующих случаев:</w:t>
      </w:r>
    </w:p>
    <w:p>
      <w:pPr>
        <w:numPr>
          <w:ilvl w:val="0"/>
          <w:numId w:val="1004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x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0.223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0.774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y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0.665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0.332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)</m:t>
        </m:r>
      </m:oMath>
    </w:p>
    <w:p>
      <w:pPr>
        <w:numPr>
          <w:ilvl w:val="0"/>
          <w:numId w:val="1005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x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0.291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0.865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rPr>
            <m:sty m:val="p"/>
          </m:rPr>
          <m:t>|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2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|</m:t>
        </m:r>
      </m:oMath>
      <w:r>
        <w:t xml:space="preserve">$</w:t>
      </w:r>
    </w:p>
    <w:p>
      <w:pPr>
        <w:pStyle w:val="BodyText"/>
      </w:pP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y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0.456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0.789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rPr>
            <m:sty m:val="p"/>
          </m:rPr>
          <m:t>|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|</m:t>
        </m:r>
      </m:oMath>
    </w:p>
    <w:bookmarkEnd w:id="24"/>
    <w:bookmarkStart w:id="29" w:name="данные-задачи"/>
    <w:p>
      <w:pPr>
        <w:pStyle w:val="Heading2"/>
      </w:pPr>
      <w:r>
        <w:t xml:space="preserve">Данные задачи</w:t>
      </w:r>
    </w:p>
    <w:p>
      <w:pPr>
        <w:numPr>
          <w:ilvl w:val="0"/>
          <w:numId w:val="1006"/>
        </w:numPr>
        <w:pStyle w:val="Compact"/>
      </w:pPr>
      <w:r>
        <w:t xml:space="preserve">X - численность первой армии, Y - численность второй армии. a1 a2 b1 b2 c1 c2 h1 h2 - константы для боя между регулярными войсками (рис. 1)</w:t>
      </w:r>
    </w:p>
    <w:p>
      <w:pPr>
        <w:pStyle w:val="CaptionedFigure"/>
      </w:pPr>
      <w:bookmarkStart w:id="26" w:name="fig:001"/>
      <w:r>
        <w:drawing>
          <wp:inline>
            <wp:extent cx="5334000" cy="3195118"/>
            <wp:effectExtent b="0" l="0" r="0" t="0"/>
            <wp:docPr descr="Figure 1: Условия задачи" title="" id="1" name="Picture"/>
            <a:graphic>
              <a:graphicData uri="http://schemas.openxmlformats.org/drawingml/2006/picture">
                <pic:pic>
                  <pic:nvPicPr>
                    <pic:cNvPr descr="images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5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Условия задачи</w:t>
      </w:r>
    </w:p>
    <w:p>
      <w:pPr>
        <w:numPr>
          <w:ilvl w:val="0"/>
          <w:numId w:val="1007"/>
        </w:numPr>
        <w:pStyle w:val="Compact"/>
      </w:pPr>
      <w:r>
        <w:t xml:space="preserve">Начальный момент времени (t0 = 0), предельный момент времени (tmax = 1) и шаг изменения времени (dt = 0.05). (рис. 2)</w:t>
      </w:r>
    </w:p>
    <w:p>
      <w:pPr>
        <w:pStyle w:val="CaptionedFigure"/>
      </w:pPr>
      <w:bookmarkStart w:id="28" w:name="fig:002"/>
      <w:r>
        <w:drawing>
          <wp:inline>
            <wp:extent cx="5334000" cy="1108171"/>
            <wp:effectExtent b="0" l="0" r="0" t="0"/>
            <wp:docPr descr="Figure 2: Начальные условия времени" title="" id="1" name="Picture"/>
            <a:graphic>
              <a:graphicData uri="http://schemas.openxmlformats.org/drawingml/2006/picture">
                <pic:pic>
                  <pic:nvPicPr>
                    <pic:cNvPr descr="images\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8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Начальные условия времени</w:t>
      </w:r>
    </w:p>
    <w:bookmarkEnd w:id="29"/>
    <w:bookmarkStart w:id="40" w:name="Xfcee6dfe9f03ec3adbd02c8f1ffad794b47f034"/>
    <w:p>
      <w:pPr>
        <w:pStyle w:val="Heading2"/>
      </w:pPr>
      <w:r>
        <w:t xml:space="preserve">Решение систем дифференциальных уравнений</w:t>
      </w:r>
    </w:p>
    <w:p>
      <w:pPr>
        <w:numPr>
          <w:ilvl w:val="0"/>
          <w:numId w:val="1008"/>
        </w:numPr>
        <w:pStyle w:val="Compact"/>
      </w:pPr>
      <w:r>
        <w:t xml:space="preserve">Просчитаем возможность подхода подкрепления к армии х (Sin1) и к армии у (Cos1) в бою между регулярными войсками. (рис. 3)</w:t>
      </w:r>
    </w:p>
    <w:p>
      <w:pPr>
        <w:pStyle w:val="CaptionedFigure"/>
      </w:pPr>
      <w:bookmarkStart w:id="31" w:name="fig:003"/>
      <w:r>
        <w:drawing>
          <wp:inline>
            <wp:extent cx="5334000" cy="1645672"/>
            <wp:effectExtent b="0" l="0" r="0" t="0"/>
            <wp:docPr descr="Figure 3: Первый случай" title="" id="1" name="Picture"/>
            <a:graphic>
              <a:graphicData uri="http://schemas.openxmlformats.org/drawingml/2006/picture">
                <pic:pic>
                  <pic:nvPicPr>
                    <pic:cNvPr descr="images\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5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3: Первый случай</w:t>
      </w:r>
    </w:p>
    <w:p>
      <w:pPr>
        <w:numPr>
          <w:ilvl w:val="0"/>
          <w:numId w:val="1009"/>
        </w:numPr>
        <w:pStyle w:val="Compact"/>
      </w:pPr>
      <w:r>
        <w:t xml:space="preserve">Просчитаем возможность подхода подкрепления к армии х (Sin2) и к армии у (Cos2) в бою между регулярным войском и партизанским отрядом. (рис. 4)</w:t>
      </w:r>
    </w:p>
    <w:p>
      <w:pPr>
        <w:pStyle w:val="CaptionedFigure"/>
      </w:pPr>
      <w:bookmarkStart w:id="33" w:name="fig:004"/>
      <w:r>
        <w:drawing>
          <wp:inline>
            <wp:extent cx="5334000" cy="1391164"/>
            <wp:effectExtent b="0" l="0" r="0" t="0"/>
            <wp:docPr descr="Figure 4: Второй случай" title="" id="1" name="Picture"/>
            <a:graphic>
              <a:graphicData uri="http://schemas.openxmlformats.org/drawingml/2006/picture">
                <pic:pic>
                  <pic:nvPicPr>
                    <pic:cNvPr descr="images\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4: Второй случай</w:t>
      </w:r>
    </w:p>
    <w:p>
      <w:pPr>
        <w:numPr>
          <w:ilvl w:val="0"/>
          <w:numId w:val="1010"/>
        </w:numPr>
        <w:pStyle w:val="Compact"/>
      </w:pPr>
      <w:r>
        <w:t xml:space="preserve">Система дифференциальных уравнений изменения численностей первой армии и второй армии регулярных войск. (рис. 5)</w:t>
      </w:r>
    </w:p>
    <w:p>
      <w:pPr>
        <w:pStyle w:val="CaptionedFigure"/>
      </w:pPr>
      <w:bookmarkStart w:id="35" w:name="fig:005"/>
      <w:r>
        <w:drawing>
          <wp:inline>
            <wp:extent cx="5334000" cy="1104588"/>
            <wp:effectExtent b="0" l="0" r="0" t="0"/>
            <wp:docPr descr="Figure 5: Первый случай" title="" id="1" name="Picture"/>
            <a:graphic>
              <a:graphicData uri="http://schemas.openxmlformats.org/drawingml/2006/picture">
                <pic:pic>
                  <pic:nvPicPr>
                    <pic:cNvPr descr="images\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4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5: Первый случай</w:t>
      </w:r>
    </w:p>
    <w:p>
      <w:pPr>
        <w:numPr>
          <w:ilvl w:val="0"/>
          <w:numId w:val="1011"/>
        </w:numPr>
        <w:pStyle w:val="Compact"/>
      </w:pPr>
      <w:r>
        <w:t xml:space="preserve">Система дифференциальных уравнений изменения численностей армии регулярных войск и партизанского отряда. (рис. 6)</w:t>
      </w:r>
    </w:p>
    <w:p>
      <w:pPr>
        <w:pStyle w:val="CaptionedFigure"/>
      </w:pPr>
      <w:bookmarkStart w:id="37" w:name="fig:006"/>
      <w:r>
        <w:drawing>
          <wp:inline>
            <wp:extent cx="5334000" cy="1120284"/>
            <wp:effectExtent b="0" l="0" r="0" t="0"/>
            <wp:docPr descr="Figure 6: Второй случай" title="" id="1" name="Picture"/>
            <a:graphic>
              <a:graphicData uri="http://schemas.openxmlformats.org/drawingml/2006/picture">
                <pic:pic>
                  <pic:nvPicPr>
                    <pic:cNvPr descr="images\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0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6: Второй случай</w:t>
      </w:r>
    </w:p>
    <w:p>
      <w:pPr>
        <w:numPr>
          <w:ilvl w:val="0"/>
          <w:numId w:val="1012"/>
        </w:numPr>
        <w:pStyle w:val="Compact"/>
      </w:pPr>
      <w:r>
        <w:t xml:space="preserve">Следующие строки задают вектор начальных условий (v) (рис. 7)</w:t>
      </w:r>
    </w:p>
    <w:p>
      <w:pPr>
        <w:pStyle w:val="CaptionedFigure"/>
      </w:pPr>
      <w:bookmarkStart w:id="39" w:name="fig:007"/>
      <w:r>
        <w:drawing>
          <wp:inline>
            <wp:extent cx="5334000" cy="758902"/>
            <wp:effectExtent b="0" l="0" r="0" t="0"/>
            <wp:docPr descr="Figure 7: Вектор начальных условий и решения дифференциальных уравнений" title="" id="1" name="Picture"/>
            <a:graphic>
              <a:graphicData uri="http://schemas.openxmlformats.org/drawingml/2006/picture">
                <pic:pic>
                  <pic:nvPicPr>
                    <pic:cNvPr descr="images\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8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7: Вектор начальных условий и решения дифференциальных уравнений</w:t>
      </w:r>
    </w:p>
    <w:bookmarkEnd w:id="40"/>
    <w:bookmarkStart w:id="45" w:name="построение-графиков-решений"/>
    <w:p>
      <w:pPr>
        <w:pStyle w:val="Heading2"/>
      </w:pPr>
      <w:r>
        <w:t xml:space="preserve">Построение графиков решений</w:t>
      </w:r>
    </w:p>
    <w:p>
      <w:pPr>
        <w:numPr>
          <w:ilvl w:val="0"/>
          <w:numId w:val="1013"/>
        </w:numPr>
        <w:pStyle w:val="Compact"/>
      </w:pPr>
      <w:r>
        <w:t xml:space="preserve">Решения дифференциальных уравнений (r1 и r2). График для модели боевых действий между регулярными войсками. (рис. 8)</w:t>
      </w:r>
    </w:p>
    <w:p>
      <w:pPr>
        <w:pStyle w:val="CaptionedFigure"/>
      </w:pPr>
      <w:bookmarkStart w:id="42" w:name="fig:008"/>
      <w:r>
        <w:drawing>
          <wp:inline>
            <wp:extent cx="5334000" cy="3374713"/>
            <wp:effectExtent b="0" l="0" r="0" t="0"/>
            <wp:docPr descr="Figure 8: График боя регулярных войск" title="" id="1" name="Picture"/>
            <a:graphic>
              <a:graphicData uri="http://schemas.openxmlformats.org/drawingml/2006/picture">
                <pic:pic>
                  <pic:nvPicPr>
                    <pic:cNvPr descr="images\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4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8: График боя регулярных войск</w:t>
      </w:r>
    </w:p>
    <w:p>
      <w:pPr>
        <w:numPr>
          <w:ilvl w:val="0"/>
          <w:numId w:val="1014"/>
        </w:numPr>
        <w:pStyle w:val="Compact"/>
      </w:pPr>
      <w:r>
        <w:t xml:space="preserve">График для модели боевых действий между регулярным войском и партизанским отрядом. (рис. 9)</w:t>
      </w:r>
    </w:p>
    <w:p>
      <w:pPr>
        <w:pStyle w:val="CaptionedFigure"/>
      </w:pPr>
      <w:bookmarkStart w:id="44" w:name="fig:009"/>
      <w:r>
        <w:drawing>
          <wp:inline>
            <wp:extent cx="5334000" cy="3008742"/>
            <wp:effectExtent b="0" l="0" r="0" t="0"/>
            <wp:docPr descr="Figure 9: График боя регулярного войска и партизанского отряда" title="" id="1" name="Picture"/>
            <a:graphic>
              <a:graphicData uri="http://schemas.openxmlformats.org/drawingml/2006/picture">
                <pic:pic>
                  <pic:nvPicPr>
                    <pic:cNvPr descr="images\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8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9: График боя регулярного войска и партизанского отряда</w:t>
      </w:r>
    </w:p>
    <w:bookmarkEnd w:id="45"/>
    <w:bookmarkEnd w:id="46"/>
    <w:bookmarkStart w:id="4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третьей лабораторной работы, я рассмотрел один из примеров модели боевых действий Ланчестера.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3">
    <w:nsid w:val="4fbe019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Якушевич Артём Юрьевич</dc:creator>
  <dc:language>ru-RU</dc:language>
  <cp:keywords/>
  <dcterms:created xsi:type="dcterms:W3CDTF">2021-02-27T08:41:10Z</dcterms:created>
  <dcterms:modified xsi:type="dcterms:W3CDTF">2021-02-27T08:41:10Z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eacher">
    <vt:lpwstr>Кулябов Дмитрий Сергеевич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