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7B1F5C3E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 w:rsidR="007568E4">
        <w:rPr>
          <w:rFonts w:ascii="Sylfaen" w:hAnsi="Sylfaen"/>
          <w:sz w:val="28"/>
          <w:szCs w:val="28"/>
          <w:lang w:val="hy-AM"/>
        </w:rPr>
        <w:t>ուղարկելու նպատակով կապ է հաստատում սերվերի հետ</w:t>
      </w:r>
      <w:r w:rsidR="00DC673A">
        <w:rPr>
          <w:rFonts w:ascii="Sylfaen" w:hAnsi="Sylfaen"/>
          <w:sz w:val="28"/>
          <w:szCs w:val="28"/>
          <w:lang w:val="hy-AM"/>
        </w:rPr>
        <w:t xml:space="preserve">, </w:t>
      </w:r>
      <w:r w:rsidR="003108E6">
        <w:rPr>
          <w:rFonts w:ascii="Sylfaen" w:hAnsi="Sylfaen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408573C2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C2CA840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24ECE852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77777777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0A85E46A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6CDAA0AC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որքան անգամ էլ կատարվի միշտ ունենում է միևնույն արդյունքը և չի փոխում սերվերի վիճակը։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E381C2F" w14:textId="294EDF47" w:rsidR="00827DA0" w:rsidRDefault="00827DA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302 -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</w:t>
      </w:r>
      <w:r>
        <w:rPr>
          <w:rFonts w:ascii="Times New Roman" w:hAnsi="Times New Roman" w:cs="Times New Roman"/>
          <w:sz w:val="28"/>
          <w:szCs w:val="28"/>
          <w:lang w:val="hy-AM"/>
        </w:rPr>
        <w:t>ժամանակավոր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</w:p>
    <w:p w14:paraId="51D86894" w14:textId="5A055E8D" w:rsidR="00AF1C95" w:rsidRDefault="00AF1C95" w:rsidP="00D920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304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if-modified-seans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62123437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6F6A1EBC" w14:textId="36C43F35" w:rsidR="00BB20B8" w:rsidRDefault="00BB20B8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21B9B72A" w14:textId="54B89B30" w:rsidR="00BB20B8" w:rsidRPr="00501580" w:rsidRDefault="00BB20B8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504 – շլյուզի սպասելու ժամկետը սպառվել 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lastRenderedPageBreak/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41FA7191" w:rsidR="006566DB" w:rsidRPr="001A66C2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0A122610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lastRenderedPageBreak/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Pr="003442E1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63C8655A" w14:textId="15A5459F" w:rsidR="009046EE" w:rsidRPr="00413A12" w:rsidRDefault="001D0FB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04D7"/>
    <w:rsid w:val="00022677"/>
    <w:rsid w:val="000237FB"/>
    <w:rsid w:val="00023F08"/>
    <w:rsid w:val="000336D7"/>
    <w:rsid w:val="00042544"/>
    <w:rsid w:val="00054014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27EA"/>
    <w:rsid w:val="002346C8"/>
    <w:rsid w:val="00236A02"/>
    <w:rsid w:val="002439A3"/>
    <w:rsid w:val="00243E53"/>
    <w:rsid w:val="00245A09"/>
    <w:rsid w:val="00254858"/>
    <w:rsid w:val="00254FAD"/>
    <w:rsid w:val="00256D17"/>
    <w:rsid w:val="00260346"/>
    <w:rsid w:val="0026083E"/>
    <w:rsid w:val="00267109"/>
    <w:rsid w:val="00280CEF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20D7"/>
    <w:rsid w:val="006F2BB6"/>
    <w:rsid w:val="006F3D59"/>
    <w:rsid w:val="006F5005"/>
    <w:rsid w:val="007136EC"/>
    <w:rsid w:val="00722C7F"/>
    <w:rsid w:val="00722FF6"/>
    <w:rsid w:val="00725AD3"/>
    <w:rsid w:val="007271F8"/>
    <w:rsid w:val="00736142"/>
    <w:rsid w:val="00746E37"/>
    <w:rsid w:val="00752392"/>
    <w:rsid w:val="00752578"/>
    <w:rsid w:val="007568E4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74DF4"/>
    <w:rsid w:val="00876627"/>
    <w:rsid w:val="008876D3"/>
    <w:rsid w:val="008A0EA8"/>
    <w:rsid w:val="008B5B5D"/>
    <w:rsid w:val="008C294B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82C14"/>
    <w:rsid w:val="0099609C"/>
    <w:rsid w:val="009A5B33"/>
    <w:rsid w:val="009A5F48"/>
    <w:rsid w:val="009C0621"/>
    <w:rsid w:val="009C64CF"/>
    <w:rsid w:val="009D1A59"/>
    <w:rsid w:val="009D428B"/>
    <w:rsid w:val="009D63FD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D05C9"/>
    <w:rsid w:val="00AD63CB"/>
    <w:rsid w:val="00AF1C95"/>
    <w:rsid w:val="00AF4FB6"/>
    <w:rsid w:val="00B02A33"/>
    <w:rsid w:val="00B075A0"/>
    <w:rsid w:val="00B10678"/>
    <w:rsid w:val="00B23C9A"/>
    <w:rsid w:val="00B25589"/>
    <w:rsid w:val="00B271B4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3F52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16</Pages>
  <Words>3618</Words>
  <Characters>20625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477</cp:revision>
  <dcterms:created xsi:type="dcterms:W3CDTF">2022-09-06T04:35:00Z</dcterms:created>
  <dcterms:modified xsi:type="dcterms:W3CDTF">2022-10-28T14:40:00Z</dcterms:modified>
</cp:coreProperties>
</file>