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6E90465D" w:rsidR="005E1FB1" w:rsidRDefault="00AB67B7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IoC </w:t>
      </w:r>
      <w:r w:rsidRPr="00AB67B7">
        <w:rPr>
          <w:lang w:val="hy-AM"/>
        </w:rPr>
        <w:t xml:space="preserve">կոնտեյները ամբողջ </w:t>
      </w:r>
      <w:r>
        <w:rPr>
          <w:lang w:val="hy-AM"/>
        </w:rPr>
        <w:t>Spring</w:t>
      </w:r>
      <w:r w:rsidRPr="00AB67B7">
        <w:rPr>
          <w:lang w:val="hy-AM"/>
        </w:rPr>
        <w:t xml:space="preserve"> </w:t>
      </w:r>
      <w:r>
        <w:rPr>
          <w:lang w:val="hy-AM"/>
        </w:rPr>
        <w:t xml:space="preserve">– </w:t>
      </w:r>
      <w:r w:rsidRPr="00AB67B7">
        <w:rPr>
          <w:lang w:val="hy-AM"/>
        </w:rPr>
        <w:t xml:space="preserve">ի միջուկն է, որի միջոցով app </w:t>
      </w:r>
      <w:r>
        <w:rPr>
          <w:lang w:val="hy-AM"/>
        </w:rPr>
        <w:t>–</w:t>
      </w:r>
      <w:r w:rsidRPr="00AB67B7">
        <w:rPr>
          <w:lang w:val="hy-AM"/>
        </w:rPr>
        <w:t xml:space="preserve"> </w:t>
      </w:r>
      <w:r>
        <w:rPr>
          <w:lang w:val="hy-AM"/>
        </w:rPr>
        <w:t xml:space="preserve">ի տարբեր հատվածները աշխատում են միասին: </w:t>
      </w:r>
      <w:r w:rsidR="000C78EA">
        <w:rPr>
          <w:lang w:val="hy-AM"/>
        </w:rPr>
        <w:t xml:space="preserve">Կոնտեյները տրամադրում է </w:t>
      </w:r>
      <w:r w:rsidR="000C78EA" w:rsidRPr="000C78EA">
        <w:rPr>
          <w:lang w:val="hy-AM"/>
        </w:rPr>
        <w:t xml:space="preserve">ApplicationContext – </w:t>
      </w:r>
      <w:r w:rsidR="000C78EA">
        <w:rPr>
          <w:lang w:val="hy-AM"/>
        </w:rPr>
        <w:t xml:space="preserve">ը։ Կոնտեյները ստանում է </w:t>
      </w:r>
      <w:r w:rsidR="000C78EA" w:rsidRPr="000C78EA">
        <w:rPr>
          <w:lang w:val="hy-AM"/>
        </w:rPr>
        <w:t xml:space="preserve">instruction </w:t>
      </w:r>
      <w:r w:rsidR="000C78EA">
        <w:rPr>
          <w:lang w:val="hy-AM"/>
        </w:rPr>
        <w:t>–</w:t>
      </w:r>
      <w:r w:rsidR="000C78EA" w:rsidRPr="000C78EA">
        <w:rPr>
          <w:lang w:val="hy-AM"/>
        </w:rPr>
        <w:t xml:space="preserve"> </w:t>
      </w:r>
      <w:r w:rsidR="000C78EA">
        <w:rPr>
          <w:lang w:val="hy-AM"/>
        </w:rPr>
        <w:t xml:space="preserve">ներ </w:t>
      </w:r>
      <w:r w:rsidR="000C78EA" w:rsidRPr="000C78EA">
        <w:rPr>
          <w:lang w:val="hy-AM"/>
        </w:rPr>
        <w:t xml:space="preserve">XML </w:t>
      </w:r>
      <w:r w:rsidR="000C78EA">
        <w:rPr>
          <w:lang w:val="hy-AM"/>
        </w:rPr>
        <w:t xml:space="preserve">ֆայլի, անոտացիաների կամ </w:t>
      </w:r>
      <w:r w:rsidR="000C78EA" w:rsidRPr="000C78EA">
        <w:rPr>
          <w:lang w:val="hy-AM"/>
        </w:rPr>
        <w:t xml:space="preserve">Java </w:t>
      </w:r>
      <w:r w:rsidR="000C78EA"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 w:rsidR="000C78EA"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2D0B0A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2D0B0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2D0B0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2D0B0A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2D0B0A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</w:t>
      </w:r>
      <w:r w:rsidR="00C02C25">
        <w:rPr>
          <w:lang w:val="hy-AM"/>
        </w:rPr>
        <w:lastRenderedPageBreak/>
        <w:t xml:space="preserve">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lastRenderedPageBreak/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lastRenderedPageBreak/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AB67B7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lastRenderedPageBreak/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</w:t>
      </w:r>
      <w:r w:rsidR="006839D5">
        <w:rPr>
          <w:lang w:val="hy-AM"/>
        </w:rPr>
        <w:lastRenderedPageBreak/>
        <w:t xml:space="preserve">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lastRenderedPageBreak/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2D0B0A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2D0B0A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1424F1" w:rsidRDefault="00F6774A" w:rsidP="00036D2B">
      <w:pPr>
        <w:spacing w:line="360" w:lineRule="auto"/>
        <w:jc w:val="both"/>
        <w:rPr>
          <w:lang w:val="hy-AM"/>
        </w:rPr>
      </w:pPr>
      <w:r w:rsidRPr="00FD0368">
        <w:rPr>
          <w:lang w:val="hy-AM"/>
        </w:rPr>
        <w:t>Ինտերֆեյսը ունի 2 մեթոդ՝</w:t>
      </w:r>
      <w:r w:rsidR="00645803" w:rsidRPr="001424F1">
        <w:rPr>
          <w:lang w:val="hy-AM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t>որը</w:t>
      </w:r>
      <w:r w:rsidRPr="001424F1">
        <w:rPr>
          <w:lang w:val="en-US"/>
        </w:rPr>
        <w:t xml:space="preserve"> </w:t>
      </w:r>
      <w:r w:rsidRPr="00792117">
        <w:t>կլասսում</w:t>
      </w:r>
      <w:r w:rsidRPr="001424F1">
        <w:rPr>
          <w:lang w:val="en-US"/>
        </w:rPr>
        <w:t xml:space="preserve"> </w:t>
      </w:r>
      <w:r w:rsidRPr="00792117">
        <w:t>կարող</w:t>
      </w:r>
      <w:r w:rsidRPr="001424F1">
        <w:rPr>
          <w:lang w:val="en-US"/>
        </w:rPr>
        <w:t xml:space="preserve"> </w:t>
      </w:r>
      <w:r w:rsidRPr="00792117">
        <w:t>է</w:t>
      </w:r>
      <w:r w:rsidRPr="001424F1">
        <w:rPr>
          <w:lang w:val="en-US"/>
        </w:rPr>
        <w:t xml:space="preserve">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lastRenderedPageBreak/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lastRenderedPageBreak/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lastRenderedPageBreak/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lastRenderedPageBreak/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lastRenderedPageBreak/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424F1E66" w:rsidR="00DF486A" w:rsidRPr="001424F1" w:rsidRDefault="001424F1" w:rsidP="00DF486A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1424F1">
        <w:rPr>
          <w:b/>
          <w:bCs/>
          <w:sz w:val="32"/>
          <w:szCs w:val="32"/>
          <w:lang w:val="hy-AM"/>
        </w:rPr>
        <w:lastRenderedPageBreak/>
        <w:t>7. Null-safety</w:t>
      </w:r>
    </w:p>
    <w:p w14:paraId="3511C492" w14:textId="69966CA6" w:rsidR="00B72936" w:rsidRPr="001424F1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Null – </w:t>
      </w:r>
      <w:r>
        <w:rPr>
          <w:lang w:val="hy-AM"/>
        </w:rPr>
        <w:t>երից ապահով աշխատելու համար կան հետևյալ անոտացիաները</w:t>
      </w:r>
      <w:r w:rsidRPr="001424F1">
        <w:rPr>
          <w:lang w:val="hy-AM"/>
        </w:rPr>
        <w:t xml:space="preserve">, </w:t>
      </w:r>
      <w:r>
        <w:rPr>
          <w:lang w:val="hy-AM"/>
        </w:rPr>
        <w:t xml:space="preserve">որոնք կարող են կիրառվել </w:t>
      </w:r>
      <w:r w:rsidRPr="001424F1">
        <w:rPr>
          <w:lang w:val="hy-AM"/>
        </w:rPr>
        <w:t>պարամետր</w:t>
      </w:r>
      <w:r>
        <w:rPr>
          <w:lang w:val="hy-AM"/>
        </w:rPr>
        <w:t>ի</w:t>
      </w:r>
      <w:r w:rsidRPr="001424F1">
        <w:rPr>
          <w:lang w:val="hy-AM"/>
        </w:rPr>
        <w:t>, դաշտ</w:t>
      </w:r>
      <w:r>
        <w:rPr>
          <w:lang w:val="hy-AM"/>
        </w:rPr>
        <w:t>ի</w:t>
      </w:r>
      <w:r w:rsidRPr="001424F1">
        <w:rPr>
          <w:lang w:val="hy-AM"/>
        </w:rPr>
        <w:t xml:space="preserve"> կամ վերադարձվող արժեք</w:t>
      </w:r>
      <w:r>
        <w:rPr>
          <w:lang w:val="hy-AM"/>
        </w:rPr>
        <w:t>ի հետ</w:t>
      </w:r>
    </w:p>
    <w:p w14:paraId="6D73D384" w14:textId="4AD300DC" w:rsidR="001424F1" w:rsidRDefault="002D0B0A" w:rsidP="00B72936">
      <w:pPr>
        <w:spacing w:line="360" w:lineRule="auto"/>
        <w:jc w:val="both"/>
        <w:rPr>
          <w:lang w:val="hy-AM"/>
        </w:rPr>
      </w:pPr>
      <w:hyperlink r:id="rId33" w:history="1">
        <w:r w:rsidR="001424F1" w:rsidRPr="001424F1">
          <w:rPr>
            <w:lang w:val="hy-AM"/>
          </w:rPr>
          <w:t>@Nullable</w:t>
        </w:r>
      </w:hyperlink>
      <w:r w:rsidR="001424F1" w:rsidRPr="001424F1">
        <w:rPr>
          <w:lang w:val="hy-AM"/>
        </w:rPr>
        <w:t xml:space="preserve"> –կարող է լինել Null</w:t>
      </w:r>
    </w:p>
    <w:p w14:paraId="1528439E" w14:textId="0E03E08D" w:rsidR="001424F1" w:rsidRPr="00315A2F" w:rsidRDefault="001424F1" w:rsidP="00B72936">
      <w:pPr>
        <w:spacing w:line="360" w:lineRule="auto"/>
        <w:jc w:val="both"/>
        <w:rPr>
          <w:lang w:val="hy-AM"/>
        </w:rPr>
      </w:pPr>
      <w:r w:rsidRPr="001424F1">
        <w:rPr>
          <w:lang w:val="hy-AM"/>
        </w:rPr>
        <w:t xml:space="preserve">@NonNull </w:t>
      </w:r>
      <w:r>
        <w:rPr>
          <w:lang w:val="hy-AM"/>
        </w:rPr>
        <w:t>–</w:t>
      </w:r>
      <w:r w:rsidRPr="001424F1">
        <w:rPr>
          <w:lang w:val="hy-AM"/>
        </w:rPr>
        <w:t xml:space="preserve"> </w:t>
      </w:r>
      <w:r>
        <w:rPr>
          <w:lang w:val="hy-AM"/>
        </w:rPr>
        <w:t xml:space="preserve">չի կարող լինել </w:t>
      </w:r>
      <w:r w:rsidRPr="001424F1">
        <w:rPr>
          <w:lang w:val="hy-AM"/>
        </w:rPr>
        <w:t>null</w:t>
      </w:r>
      <w:r w:rsidR="003E7E33" w:rsidRPr="003E7E33">
        <w:rPr>
          <w:lang w:val="hy-AM"/>
        </w:rPr>
        <w:t xml:space="preserve">, </w:t>
      </w:r>
      <w:r w:rsidR="003E7E33">
        <w:rPr>
          <w:lang w:val="hy-AM"/>
        </w:rPr>
        <w:t xml:space="preserve">կոդի ռեդակտորները տեսելով անոտացիան ցույց կտան </w:t>
      </w:r>
      <w:r w:rsidR="003E7E33" w:rsidRPr="003E7E33">
        <w:rPr>
          <w:lang w:val="hy-AM"/>
        </w:rPr>
        <w:t>er</w:t>
      </w:r>
      <w:r w:rsidR="003E7E33" w:rsidRPr="00315A2F">
        <w:rPr>
          <w:lang w:val="hy-AM"/>
        </w:rPr>
        <w:t>r</w:t>
      </w:r>
      <w:r w:rsidR="003E7E33" w:rsidRPr="003E7E33">
        <w:rPr>
          <w:lang w:val="hy-AM"/>
        </w:rPr>
        <w:t xml:space="preserve">or </w:t>
      </w:r>
      <w:r w:rsidR="003E7E33">
        <w:rPr>
          <w:lang w:val="hy-AM"/>
        </w:rPr>
        <w:t xml:space="preserve">եթե լինի </w:t>
      </w:r>
      <w:r w:rsidR="003E7E33" w:rsidRPr="00315A2F">
        <w:rPr>
          <w:lang w:val="hy-AM"/>
        </w:rPr>
        <w:t>null</w:t>
      </w:r>
    </w:p>
    <w:p w14:paraId="4972B5C0" w14:textId="48FBD3CC" w:rsidR="00730D75" w:rsidRDefault="002D0B0A" w:rsidP="00730D75">
      <w:pPr>
        <w:spacing w:line="360" w:lineRule="auto"/>
        <w:jc w:val="both"/>
        <w:rPr>
          <w:lang w:val="hy-AM"/>
        </w:rPr>
      </w:pPr>
      <w:hyperlink r:id="rId34" w:history="1">
        <w:r w:rsidR="001424F1" w:rsidRPr="001424F1">
          <w:rPr>
            <w:lang w:val="hy-AM"/>
          </w:rPr>
          <w:t>@NonNullApi</w:t>
        </w:r>
      </w:hyperlink>
      <w:r w:rsidR="001424F1" w:rsidRPr="001424F1">
        <w:rPr>
          <w:lang w:val="hy-AM"/>
        </w:rPr>
        <w:t xml:space="preserve"> – package level </w:t>
      </w:r>
      <w:r w:rsidR="001424F1">
        <w:rPr>
          <w:lang w:val="hy-AM"/>
        </w:rPr>
        <w:t xml:space="preserve">անոտացիա նշանակում է որ նշված </w:t>
      </w:r>
      <w:r w:rsidR="001424F1" w:rsidRPr="001424F1">
        <w:rPr>
          <w:lang w:val="hy-AM"/>
        </w:rPr>
        <w:t xml:space="preserve">package - </w:t>
      </w:r>
      <w:r w:rsidR="001424F1">
        <w:rPr>
          <w:lang w:val="hy-AM"/>
        </w:rPr>
        <w:t xml:space="preserve">ում բոլոր պարամետրերը և վերադարձվող արժեքները չեն կարող լինել </w:t>
      </w:r>
      <w:r w:rsidR="001424F1" w:rsidRPr="00FA262A">
        <w:rPr>
          <w:lang w:val="hy-AM"/>
        </w:rPr>
        <w:t>null</w:t>
      </w:r>
      <w:r w:rsidR="00315A2F" w:rsidRPr="00315A2F">
        <w:rPr>
          <w:lang w:val="hy-AM"/>
        </w:rPr>
        <w:t>`</w:t>
      </w:r>
    </w:p>
    <w:p w14:paraId="7FF9247B" w14:textId="7170E7D3" w:rsidR="00315A2F" w:rsidRPr="00315A2F" w:rsidRDefault="00315A2F" w:rsidP="00730D75">
      <w:pPr>
        <w:spacing w:line="360" w:lineRule="auto"/>
        <w:jc w:val="both"/>
        <w:rPr>
          <w:lang w:val="en-US"/>
        </w:rPr>
      </w:pPr>
      <w:r w:rsidRPr="00315A2F">
        <w:rPr>
          <w:rStyle w:val="hljs-meta"/>
          <w:rFonts w:ascii="Source Code Pro" w:hAnsi="Source Code Pro"/>
          <w:color w:val="1F7199"/>
          <w:sz w:val="21"/>
          <w:szCs w:val="21"/>
          <w:lang w:val="en-US"/>
        </w:rPr>
        <w:t>@NonNullApi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 w:rsidRPr="00315A2F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en-US"/>
        </w:rPr>
        <w:t>package</w:t>
      </w:r>
      <w:r w:rsidRPr="00315A2F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org.baeldung.nullibility;</w:t>
      </w:r>
    </w:p>
    <w:p w14:paraId="305AD6BE" w14:textId="77777777" w:rsidR="003E7E33" w:rsidRDefault="002D0B0A" w:rsidP="00730D75">
      <w:pPr>
        <w:spacing w:line="360" w:lineRule="auto"/>
        <w:jc w:val="both"/>
        <w:rPr>
          <w:lang w:val="hy-AM"/>
        </w:rPr>
      </w:pPr>
      <w:hyperlink r:id="rId35" w:history="1">
        <w:r w:rsidR="00FA262A" w:rsidRPr="001424F1">
          <w:rPr>
            <w:lang w:val="hy-AM"/>
          </w:rPr>
          <w:t>@NonNull</w:t>
        </w:r>
      </w:hyperlink>
      <w:r w:rsidR="00FA262A" w:rsidRPr="00FA262A">
        <w:rPr>
          <w:lang w:val="hy-AM"/>
        </w:rPr>
        <w:t xml:space="preserve">Fields - </w:t>
      </w:r>
      <w:r w:rsidR="00FA262A" w:rsidRPr="001424F1">
        <w:rPr>
          <w:lang w:val="hy-AM"/>
        </w:rPr>
        <w:t xml:space="preserve">package level </w:t>
      </w:r>
      <w:r w:rsidR="00FA262A">
        <w:rPr>
          <w:lang w:val="hy-AM"/>
        </w:rPr>
        <w:t xml:space="preserve">անոտացիա նշանակում է որ նշված </w:t>
      </w:r>
      <w:r w:rsidR="00FA262A" w:rsidRPr="001424F1">
        <w:rPr>
          <w:lang w:val="hy-AM"/>
        </w:rPr>
        <w:t xml:space="preserve">package - </w:t>
      </w:r>
      <w:r w:rsidR="00FA262A">
        <w:rPr>
          <w:lang w:val="hy-AM"/>
        </w:rPr>
        <w:t>ում բոլոր բոլոր դաշտերը</w:t>
      </w:r>
      <w:r w:rsidR="00FA262A" w:rsidRPr="00FA262A">
        <w:rPr>
          <w:lang w:val="hy-AM"/>
        </w:rPr>
        <w:t xml:space="preserve"> </w:t>
      </w:r>
      <w:r w:rsidR="00FA262A">
        <w:rPr>
          <w:lang w:val="hy-AM"/>
        </w:rPr>
        <w:t xml:space="preserve">չեն կարող լինել </w:t>
      </w:r>
      <w:r w:rsidR="00FA262A" w:rsidRPr="00FA262A">
        <w:rPr>
          <w:lang w:val="hy-AM"/>
        </w:rPr>
        <w:t>null</w:t>
      </w:r>
      <w:r w:rsidR="003E7E33" w:rsidRPr="003E7E33">
        <w:rPr>
          <w:lang w:val="hy-AM"/>
        </w:rPr>
        <w:t xml:space="preserve">` </w:t>
      </w:r>
    </w:p>
    <w:p w14:paraId="26D8EED6" w14:textId="0ABD61BC" w:rsidR="00FA262A" w:rsidRDefault="003E7E33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  <w:r w:rsidRPr="003E7E33">
        <w:rPr>
          <w:rStyle w:val="hljs-meta"/>
          <w:rFonts w:ascii="Source Code Pro" w:hAnsi="Source Code Pro"/>
          <w:color w:val="1F7199"/>
          <w:sz w:val="21"/>
          <w:szCs w:val="21"/>
          <w:lang w:val="hy-AM"/>
        </w:rPr>
        <w:t>@NonNullFields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</w:t>
      </w:r>
      <w:r w:rsidRPr="003E7E33"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lang w:val="hy-AM"/>
        </w:rPr>
        <w:t>package</w:t>
      </w:r>
      <w:r w:rsidRPr="003E7E33">
        <w:rPr>
          <w:rFonts w:ascii="Source Code Pro" w:hAnsi="Source Code Pro"/>
          <w:color w:val="000000"/>
          <w:sz w:val="21"/>
          <w:szCs w:val="21"/>
          <w:shd w:val="clear" w:color="auto" w:fill="FAFAFA"/>
          <w:lang w:val="hy-AM"/>
        </w:rPr>
        <w:t xml:space="preserve"> org.baeldung.nullibility;</w:t>
      </w:r>
    </w:p>
    <w:p w14:paraId="1E5B1FD9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color w:val="000000"/>
          <w:sz w:val="21"/>
          <w:szCs w:val="21"/>
          <w:shd w:val="clear" w:color="auto" w:fill="FAFAFA"/>
          <w:lang w:val="hy-AM"/>
        </w:rPr>
      </w:pPr>
    </w:p>
    <w:p w14:paraId="7FB90815" w14:textId="2DBCCE09" w:rsidR="00275C3E" w:rsidRPr="00AB67B7" w:rsidRDefault="00275C3E" w:rsidP="00275C3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AB67B7">
        <w:rPr>
          <w:b/>
          <w:bCs/>
          <w:sz w:val="32"/>
          <w:szCs w:val="32"/>
          <w:lang w:val="hy-AM"/>
        </w:rPr>
        <w:t>9</w:t>
      </w:r>
      <w:r w:rsidRPr="001424F1">
        <w:rPr>
          <w:b/>
          <w:bCs/>
          <w:sz w:val="32"/>
          <w:szCs w:val="32"/>
          <w:lang w:val="hy-AM"/>
        </w:rPr>
        <w:t xml:space="preserve">. </w:t>
      </w:r>
      <w:r w:rsidRPr="00AB67B7">
        <w:rPr>
          <w:b/>
          <w:bCs/>
          <w:sz w:val="32"/>
          <w:szCs w:val="32"/>
          <w:lang w:val="hy-AM"/>
        </w:rPr>
        <w:t>Logging</w:t>
      </w:r>
    </w:p>
    <w:p w14:paraId="3F390D3B" w14:textId="51444444" w:rsidR="00275C3E" w:rsidRDefault="00275C3E" w:rsidP="00275C3E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275C3E">
        <w:rPr>
          <w:lang w:val="hy-AM"/>
        </w:rPr>
        <w:t xml:space="preserve">5.0 </w:t>
      </w:r>
      <w:r>
        <w:rPr>
          <w:lang w:val="hy-AM"/>
        </w:rPr>
        <w:t xml:space="preserve">վերսիայից սկսած լոգավորումը ներառվել է </w:t>
      </w:r>
      <w:r w:rsidRPr="00AB67B7">
        <w:rPr>
          <w:lang w:val="hy-AM"/>
        </w:rPr>
        <w:t xml:space="preserve">spring – jcl </w:t>
      </w:r>
      <w:r>
        <w:rPr>
          <w:lang w:val="hy-AM"/>
        </w:rPr>
        <w:t xml:space="preserve">մոդուլում։ Ռեալիզացիան ստուգում է </w:t>
      </w:r>
      <w:r w:rsidRPr="00275C3E">
        <w:rPr>
          <w:lang w:val="hy-AM"/>
        </w:rPr>
        <w:t xml:space="preserve">Log4j </w:t>
      </w:r>
      <w:r>
        <w:rPr>
          <w:lang w:val="hy-AM"/>
        </w:rPr>
        <w:t xml:space="preserve">և </w:t>
      </w:r>
      <w:r w:rsidRPr="00275C3E">
        <w:rPr>
          <w:lang w:val="hy-AM"/>
        </w:rPr>
        <w:t xml:space="preserve">SLF4j </w:t>
      </w:r>
      <w:r>
        <w:rPr>
          <w:lang w:val="hy-AM"/>
        </w:rPr>
        <w:t xml:space="preserve">առկայությունը և վերադարձնում դրանցից առաջինը՝ լոգավորման համար։ Եթե չկան ոչ մեկը օգտագործվում է </w:t>
      </w:r>
      <w:r w:rsidRPr="00AB67B7">
        <w:rPr>
          <w:rFonts w:ascii="Consolas" w:hAnsi="Consolas"/>
          <w:color w:val="191E1E"/>
          <w:spacing w:val="-1"/>
          <w:sz w:val="23"/>
          <w:szCs w:val="23"/>
          <w:lang w:val="hy-AM"/>
        </w:rPr>
        <w:t>java.util.logging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42FBD4B9" w14:textId="0F2F6FAA" w:rsidR="00275C3E" w:rsidRPr="00275C3E" w:rsidRDefault="00275C3E" w:rsidP="00275C3E">
      <w:pPr>
        <w:spacing w:line="360" w:lineRule="auto"/>
        <w:jc w:val="both"/>
        <w:rPr>
          <w:lang w:val="hy-AM"/>
        </w:rPr>
      </w:pPr>
      <w:r w:rsidRPr="00275C3E">
        <w:rPr>
          <w:lang w:val="hy-AM"/>
        </w:rPr>
        <w:t>Ռեալլիզացիան կարելի է ստանալ՝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rFonts w:ascii="Consolas" w:hAnsi="Consolas"/>
          <w:color w:val="191E1E"/>
          <w:spacing w:val="-1"/>
          <w:sz w:val="23"/>
          <w:szCs w:val="23"/>
          <w:lang w:val="hy-AM"/>
        </w:rPr>
        <w:t>org.apache.commons.logging.LogFactory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275C3E">
        <w:rPr>
          <w:lang w:val="hy-AM"/>
        </w:rPr>
        <w:t>– ի միջոցով։</w:t>
      </w:r>
    </w:p>
    <w:p w14:paraId="29DB73F2" w14:textId="29796EF1" w:rsidR="00275C3E" w:rsidRPr="00275C3E" w:rsidRDefault="00275C3E" w:rsidP="00275C3E">
      <w:pPr>
        <w:spacing w:line="360" w:lineRule="auto"/>
        <w:jc w:val="both"/>
        <w:rPr>
          <w:lang w:val="en-US"/>
        </w:rPr>
      </w:pP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private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5C3E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final</w:t>
      </w:r>
      <w:r w:rsidRPr="00275C3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Log log = LogFactory.getLog(getClass());</w:t>
      </w:r>
    </w:p>
    <w:p w14:paraId="73783837" w14:textId="77777777" w:rsidR="00275C3E" w:rsidRPr="00275C3E" w:rsidRDefault="00275C3E" w:rsidP="00730D75">
      <w:pPr>
        <w:spacing w:line="360" w:lineRule="auto"/>
        <w:jc w:val="both"/>
        <w:rPr>
          <w:rFonts w:asciiTheme="minorHAnsi" w:hAnsiTheme="minorHAnsi"/>
          <w:lang w:val="hy-AM"/>
        </w:rPr>
      </w:pPr>
    </w:p>
    <w:sectPr w:rsidR="00275C3E" w:rsidRPr="00275C3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1D7A6" w14:textId="77777777" w:rsidR="002D0B0A" w:rsidRDefault="002D0B0A" w:rsidP="00811B3F">
      <w:pPr>
        <w:spacing w:after="0"/>
      </w:pPr>
      <w:r>
        <w:separator/>
      </w:r>
    </w:p>
  </w:endnote>
  <w:endnote w:type="continuationSeparator" w:id="0">
    <w:p w14:paraId="46F26C53" w14:textId="77777777" w:rsidR="002D0B0A" w:rsidRDefault="002D0B0A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5CAE6" w14:textId="77777777" w:rsidR="002D0B0A" w:rsidRDefault="002D0B0A" w:rsidP="00811B3F">
      <w:pPr>
        <w:spacing w:after="0"/>
      </w:pPr>
      <w:r>
        <w:separator/>
      </w:r>
    </w:p>
  </w:footnote>
  <w:footnote w:type="continuationSeparator" w:id="0">
    <w:p w14:paraId="328144FE" w14:textId="77777777" w:rsidR="002D0B0A" w:rsidRDefault="002D0B0A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245E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4F1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3963"/>
    <w:rsid w:val="00275C3E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0B0A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5A2F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E7E33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3FDD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B67B7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B7C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262A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hyperlink" Target="https://docs.spring.io/spring-framework/docs/6.0.5/javadoc-api/org/springframework/lang/NonNullApi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hyperlink" Target="https://docs.spring.io/spring-framework/docs/6.0.5/javadoc-api/org/springframework/lang/Nullab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35" Type="http://schemas.openxmlformats.org/officeDocument/2006/relationships/hyperlink" Target="https://docs.spring.io/spring-framework/docs/6.0.5/javadoc-api/org/springframework/lang/NonNullApi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24052</TotalTime>
  <Pages>32</Pages>
  <Words>6781</Words>
  <Characters>38653</Characters>
  <Application>Microsoft Office Word</Application>
  <DocSecurity>0</DocSecurity>
  <Lines>322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803</cp:revision>
  <dcterms:created xsi:type="dcterms:W3CDTF">2022-06-14T11:50:00Z</dcterms:created>
  <dcterms:modified xsi:type="dcterms:W3CDTF">2023-04-17T13:13:00Z</dcterms:modified>
</cp:coreProperties>
</file>