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411" w:val="right"/>
        </w:tabs>
        <w:spacing w:after="0"/>
      </w:pPr>
      <w:r>
        <w:rPr>
          <w:b w:val="0"/>
          <w:i w:val="0"/>
          <w:color w:val="55645F"/>
          <w:sz w:val="18"/>
        </w:rPr>
        <w:t>H. Senado de la Nación</w:t>
      </w:r>
      <w:r>
        <w:rPr>
          <w:b w:val="0"/>
          <w:i w:val="0"/>
          <w:color w:val="55645F"/>
          <w:sz w:val="18"/>
        </w:rPr>
        <w:tab/>
        <w:t>Informe del 29/10/2026, 18:31 h</w:t>
      </w:r>
    </w:p>
    <w:p>
      <w:pPr>
        <w:spacing w:before="80"/>
      </w:pPr>
      <w:r>
        <w:rPr>
          <w:b/>
          <w:i w:val="0"/>
          <w:color w:val="8C2F2F"/>
          <w:sz w:val="18"/>
        </w:rPr>
        <w:t xml:space="preserve">Ejemplo generado con páginas de prueba. </w:t>
      </w:r>
      <w:r>
        <w:rPr>
          <w:b w:val="0"/>
          <w:i w:val="0"/>
          <w:color w:val="8C2F2F"/>
          <w:sz w:val="18"/>
        </w:rPr>
        <w:t>No reemplaza una consulta real.</w:t>
      </w:r>
    </w:p>
    <w:p>
      <w:pPr>
        <w:spacing w:before="280" w:after="40"/>
      </w:pPr>
      <w:r>
        <w:rPr>
          <w:rFonts w:ascii="Georgia" w:hAnsi="Georgia" w:eastAsia="Georgia"/>
          <w:b w:val="0"/>
          <w:i w:val="0"/>
          <w:color w:val="1F2B28"/>
          <w:sz w:val="64"/>
        </w:rPr>
        <w:t>CD-35/23</w:t>
      </w:r>
    </w:p>
    <w:p>
      <w:pPr>
        <w:spacing w:after="160"/>
      </w:pPr>
      <w:r>
        <w:rPr>
          <w:b w:val="0"/>
          <w:i w:val="0"/>
          <w:color w:val="55645F"/>
          <w:sz w:val="22"/>
        </w:rPr>
        <w:t>Proyecto de ley venido en revisión de la Cámara de Diputados</w:t>
      </w:r>
    </w:p>
    <w:p>
      <w:pPr>
        <w:spacing w:after="160"/>
      </w:pPr>
      <w:r>
        <w:rPr>
          <w:rFonts w:ascii="Georgia" w:hAnsi="Georgia" w:eastAsia="Georgia"/>
          <w:b w:val="0"/>
          <w:i w:val="0"/>
          <w:color w:val="1F2B28"/>
          <w:sz w:val="22"/>
        </w:rPr>
        <w:t>PROYECTO DE LEY EN REVISION QUE CREA LA UNIVERSIDAD NACIONAL DE LA CUENCA DEL SALADO, CON SEDE CENTRAL EN EL DISTRITO DE CAÑUELAS, PROV. DE BS. AS.</w:t>
      </w:r>
    </w:p>
    <w:p>
      <w:pPr>
        <w:spacing w:after="120"/>
      </w:pPr>
      <w:hyperlink r:id="rId12" w:history="1">
        <w:r>
          <w:rPr>
            <w:color w:val="1F4E45"/>
            <w:sz w:val="19"/>
            <w:u w:val="single"/>
          </w:rPr>
          <w:t xml:space="preserve">Ficha en el sitio del Senado</w:t>
        </w:r>
      </w:hyperlink>
      <w:r>
        <w:rPr>
          <w:b w:val="0"/>
          <w:i w:val="0"/>
        </w:rPr>
        <w:t xml:space="preserve">      </w:t>
      </w:r>
      <w:hyperlink r:id="rId13" w:history="1">
        <w:r>
          <w:rPr>
            <w:color w:val="1F4E45"/>
            <w:sz w:val="19"/>
            <w:u w:val="single"/>
          </w:rPr>
          <w:t xml:space="preserve">Texto original (PDF)</w:t>
        </w:r>
      </w:hyperlink>
    </w:p>
    <w:tbl>
      <w:tblPr>
        <w:tblW w:type="auto" w:w="0"/>
        <w:tblBorders>
          <w:top w:val="single" w:sz="4" w:space="0" w:color="F6E7E5"/>
          <w:left w:val="nil"/>
          <w:bottom w:val="single" w:sz="4" w:space="0" w:color="F6E7E5"/>
          <w:right w:val="nil"/>
          <w:insideH w:val="single" w:sz="4" w:space="0" w:color="F6E7E5"/>
          <w:insideV w:val="nil"/>
        </w:tblBorders>
        <w:tblLayout w:type="fixed"/>
        <w:tblCellMar>
          <w:top w:w="160" w:type="dxa"/>
          <w:left w:w="260" w:type="dxa"/>
          <w:bottom w:w="140" w:type="dxa"/>
          <w:right w:w="200" w:type="dxa"/>
        </w:tblCellMar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tcBorders>
              <w:left w:val="single" w:sz="36" w:space="0" w:color="8C2F2F"/>
            </w:tcBorders>
            <w:shd w:val="clear" w:color="auto" w:fill="F6E7E5"/>
          </w:tcPr>
          <w:p>
            <w:r>
              <w:rPr>
                <w:b w:val="0"/>
                <w:i w:val="0"/>
                <w:color w:val="55645F"/>
                <w:sz w:val="18"/>
              </w:rPr>
              <w:t>Situación actual</w:t>
            </w:r>
          </w:p>
          <w:p>
            <w:pPr>
              <w:spacing w:after="80"/>
            </w:pPr>
            <w:r>
              <w:rPr>
                <w:rFonts w:ascii="Georgia" w:hAnsi="Georgia" w:eastAsia="Georgia"/>
                <w:b w:val="0"/>
                <w:i w:val="0"/>
                <w:color w:val="1F2B28"/>
                <w:sz w:val="30"/>
              </w:rPr>
              <w:t>Caducó el 28/02/2026</w:t>
            </w:r>
          </w:p>
          <w:p>
            <w:pPr>
              <w:spacing w:after="20"/>
              <w:ind w:left="170"/>
            </w:pPr>
            <w:r>
              <w:rPr>
                <w:b w:val="0"/>
                <w:i w:val="0"/>
                <w:sz w:val="19"/>
              </w:rPr>
              <w:t>•  Enviado al archivo el 22/06/2026.</w:t>
            </w:r>
          </w:p>
          <w:p>
            <w:pPr>
              <w:spacing w:after="20"/>
              <w:ind w:left="170"/>
            </w:pPr>
            <w:r>
              <w:rPr>
                <w:b w:val="0"/>
                <w:i w:val="0"/>
                <w:sz w:val="19"/>
              </w:rPr>
              <w:t>•  Moción de preferencia del 18/09/2025, con despacho de comisión.</w:t>
            </w:r>
          </w:p>
          <w:p>
            <w:pPr>
              <w:spacing w:before="120"/>
            </w:pPr>
            <w:r>
              <w:rPr>
                <w:b/>
                <w:i w:val="0"/>
                <w:color w:val="1F2B28"/>
                <w:sz w:val="18"/>
              </w:rPr>
              <w:t xml:space="preserve">Caducidad registrada: 28/02/2026. </w:t>
            </w:r>
            <w:r>
              <w:rPr>
                <w:b w:val="0"/>
                <w:i w:val="0"/>
                <w:color w:val="55645F"/>
                <w:sz w:val="17"/>
              </w:rPr>
              <w:t>Registrada en la ficha del Senado.</w:t>
            </w:r>
          </w:p>
        </w:tc>
      </w:tr>
    </w:tbl>
    <w:p>
      <w:pPr>
        <w:spacing w:after="0" w:before="40"/>
      </w:pPr>
    </w:p>
    <w:tbl>
      <w:tblPr>
        <w:tblW w:type="auto" w:w="0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70" w:type="dxa"/>
          <w:left w:w="90" w:type="dxa"/>
          <w:bottom w:w="70" w:type="dxa"/>
          <w:right w:w="70" w:type="dxa"/>
        </w:tblCellMar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4EFEB"/>
          </w:tcPr>
          <w:p>
            <w:r>
              <w:rPr>
                <w:b/>
                <w:i w:val="0"/>
                <w:color w:val="1F2B28"/>
                <w:sz w:val="17"/>
              </w:rPr>
              <w:t>1. ✓ Sanción de Diputados</w:t>
            </w:r>
          </w:p>
          <w:p>
            <w:r>
              <w:rPr>
                <w:b w:val="0"/>
                <w:i w:val="0"/>
                <w:color w:val="1F2B28"/>
                <w:sz w:val="15"/>
              </w:rPr>
              <w:t>10/10/2023 OD 736</w:t>
            </w:r>
          </w:p>
        </w:tc>
        <w:tc>
          <w:tcPr>
            <w:tcW w:type="dxa" w:w="1569"/>
            <w:shd w:val="clear" w:color="auto" w:fill="E4EFEB"/>
          </w:tcPr>
          <w:p>
            <w:r>
              <w:rPr>
                <w:b/>
                <w:i w:val="0"/>
                <w:color w:val="1F2B28"/>
                <w:sz w:val="17"/>
              </w:rPr>
              <w:t>2. ✓ Ingreso al Senado</w:t>
            </w:r>
          </w:p>
          <w:p>
            <w:r>
              <w:rPr>
                <w:b w:val="0"/>
                <w:i w:val="0"/>
                <w:color w:val="1F2B28"/>
                <w:sz w:val="15"/>
              </w:rPr>
              <w:t>12/10/2023 DAE 108/2023</w:t>
            </w:r>
          </w:p>
        </w:tc>
        <w:tc>
          <w:tcPr>
            <w:tcW w:type="dxa" w:w="1569"/>
            <w:shd w:val="clear" w:color="auto" w:fill="E4EFEB"/>
          </w:tcPr>
          <w:p>
            <w:r>
              <w:rPr>
                <w:b/>
                <w:i w:val="0"/>
                <w:color w:val="1F2B28"/>
                <w:sz w:val="17"/>
              </w:rPr>
              <w:t>3. ✓ Comisión</w:t>
            </w:r>
          </w:p>
          <w:p>
            <w:r>
              <w:rPr>
                <w:b w:val="0"/>
                <w:i w:val="0"/>
                <w:color w:val="1F2B28"/>
                <w:sz w:val="15"/>
              </w:rPr>
              <w:t>12/10/2023 Educación y Cultura y Presupuesto y Hacienda</w:t>
            </w:r>
          </w:p>
        </w:tc>
        <w:tc>
          <w:tcPr>
            <w:tcW w:type="dxa" w:w="1569"/>
            <w:shd w:val="clear" w:color="auto" w:fill="F6E7E5"/>
          </w:tcPr>
          <w:p>
            <w:r>
              <w:rPr>
                <w:b/>
                <w:i w:val="0"/>
                <w:color w:val="8C2F2F"/>
                <w:sz w:val="17"/>
              </w:rPr>
              <w:t>4. × Dictamen</w:t>
            </w:r>
          </w:p>
        </w:tc>
        <w:tc>
          <w:tcPr>
            <w:tcW w:type="dxa" w:w="1569"/>
            <w:shd w:val="clear" w:color="auto" w:fill="EEF2F0"/>
          </w:tcPr>
          <w:p>
            <w:r>
              <w:rPr>
                <w:b/>
                <w:i w:val="0"/>
                <w:color w:val="55645F"/>
                <w:sz w:val="17"/>
              </w:rPr>
              <w:t>5. Sanción del Senado</w:t>
            </w:r>
          </w:p>
        </w:tc>
        <w:tc>
          <w:tcPr>
            <w:tcW w:type="dxa" w:w="1569"/>
            <w:shd w:val="clear" w:color="auto" w:fill="EEF2F0"/>
          </w:tcPr>
          <w:p>
            <w:r>
              <w:rPr>
                <w:b/>
                <w:i w:val="0"/>
                <w:color w:val="55645F"/>
                <w:sz w:val="17"/>
              </w:rPr>
              <w:t>6. Ley y Poder Ejecutivo</w:t>
            </w:r>
          </w:p>
        </w:tc>
      </w:tr>
    </w:tbl>
    <w:p>
      <w:pPr>
        <w:pStyle w:val="Heading1"/>
      </w:pPr>
      <w:r>
        <w:t>Datos del expediente</w:t>
      </w:r>
    </w:p>
    <w:tbl>
      <w:tblPr>
        <w:tblW w:type="auto" w:w="0"/>
        <w:tblBorders>
          <w:top w:val="single" w:sz="4" w:space="0" w:color="CBD5D1"/>
          <w:left w:val="nil"/>
          <w:bottom w:val="single" w:sz="4" w:space="0" w:color="CBD5D1"/>
          <w:right w:val="nil"/>
          <w:insideH w:val="single" w:sz="4" w:space="0" w:color="CBD5D1"/>
          <w:insideV w:val="nil"/>
        </w:tblBorders>
        <w:tblLayout w:type="fixed"/>
        <w:tblCellMar>
          <w:top w:w="50" w:type="dxa"/>
          <w:left w:w="6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6463"/>
      </w:tblGrid>
      <w:tr>
        <w:trPr>
          <w:cantSplit/>
        </w:trPr>
        <w:tc>
          <w:tcPr>
            <w:tcW w:type="dxa" w:w="2948"/>
          </w:tcPr>
          <w:p>
            <w:r>
              <w:rPr>
                <w:b w:val="0"/>
                <w:i w:val="0"/>
                <w:color w:val="55645F"/>
                <w:sz w:val="19"/>
              </w:rPr>
              <w:t>Expediente</w:t>
            </w:r>
          </w:p>
        </w:tc>
        <w:tc>
          <w:tcPr>
            <w:tcW w:type="dxa" w:w="6463"/>
          </w:tcPr>
          <w:p>
            <w:hyperlink r:id="rId12" w:history="1">
              <w:r>
                <w:rPr>
                  <w:color w:val="1F4E45"/>
                  <w:u w:val="single"/>
                </w:rPr>
                <w:t xml:space="preserve">CD-35/23 (PL)</w:t>
              </w:r>
            </w:hyperlink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b w:val="0"/>
                <w:i w:val="0"/>
                <w:color w:val="55645F"/>
                <w:sz w:val="19"/>
              </w:rPr>
              <w:t>Tipo</w:t>
            </w:r>
          </w:p>
        </w:tc>
        <w:tc>
          <w:tcPr>
            <w:tcW w:type="dxa" w:w="6463"/>
          </w:tcPr>
          <w:p>
            <w:r>
              <w:rPr>
                <w:b w:val="0"/>
                <w:i w:val="0"/>
              </w:rPr>
              <w:t>Proyecto de ley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b w:val="0"/>
                <w:i w:val="0"/>
                <w:color w:val="55645F"/>
                <w:sz w:val="19"/>
              </w:rPr>
              <w:t>Origen</w:t>
            </w:r>
          </w:p>
        </w:tc>
        <w:tc>
          <w:tcPr>
            <w:tcW w:type="dxa" w:w="6463"/>
          </w:tcPr>
          <w:p>
            <w:r>
              <w:rPr>
                <w:b w:val="0"/>
                <w:i w:val="0"/>
              </w:rPr>
              <w:t>Cámara de Diputados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b w:val="0"/>
                <w:i w:val="0"/>
                <w:color w:val="55645F"/>
                <w:sz w:val="19"/>
              </w:rPr>
              <w:t>Autor en Diputados</w:t>
            </w:r>
          </w:p>
        </w:tc>
        <w:tc>
          <w:tcPr>
            <w:tcW w:type="dxa" w:w="6463"/>
          </w:tcPr>
          <w:p>
            <w:r>
              <w:rPr>
                <w:b w:val="0"/>
                <w:i w:val="0"/>
              </w:rPr>
              <w:t>Martinez Maria Rosa y Otros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b w:val="0"/>
                <w:i w:val="0"/>
                <w:color w:val="55645F"/>
                <w:sz w:val="19"/>
              </w:rPr>
              <w:t>Ingreso por mesa de entradas</w:t>
            </w:r>
          </w:p>
        </w:tc>
        <w:tc>
          <w:tcPr>
            <w:tcW w:type="dxa" w:w="6463"/>
          </w:tcPr>
          <w:p>
            <w:r>
              <w:rPr>
                <w:b w:val="0"/>
                <w:i w:val="0"/>
              </w:rPr>
              <w:t>12/10/2023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b w:val="0"/>
                <w:i w:val="0"/>
                <w:color w:val="55645F"/>
                <w:sz w:val="19"/>
              </w:rPr>
              <w:t>Dado cuenta en sesión</w:t>
            </w:r>
          </w:p>
        </w:tc>
        <w:tc>
          <w:tcPr>
            <w:tcW w:type="dxa" w:w="6463"/>
          </w:tcPr>
          <w:p>
            <w:r>
              <w:rPr>
                <w:b w:val="0"/>
                <w:i w:val="0"/>
              </w:rPr>
              <w:t>18/04/2024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b w:val="0"/>
                <w:i w:val="0"/>
                <w:color w:val="55645F"/>
                <w:sz w:val="19"/>
              </w:rPr>
              <w:t>Diario de Asuntos Entrados</w:t>
            </w:r>
          </w:p>
        </w:tc>
        <w:tc>
          <w:tcPr>
            <w:tcW w:type="dxa" w:w="6463"/>
          </w:tcPr>
          <w:p>
            <w:r>
              <w:rPr>
                <w:b w:val="0"/>
                <w:i w:val="0"/>
              </w:rPr>
              <w:t>N° 108/2023 (normal)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b w:val="0"/>
                <w:i w:val="0"/>
                <w:color w:val="55645F"/>
                <w:sz w:val="19"/>
              </w:rPr>
              <w:t>Textos</w:t>
            </w:r>
          </w:p>
        </w:tc>
        <w:tc>
          <w:tcPr>
            <w:tcW w:type="dxa" w:w="6463"/>
          </w:tcPr>
          <w:p>
            <w:hyperlink r:id="rId13" w:history="1">
              <w:r>
                <w:rPr>
                  <w:color w:val="1F4E45"/>
                  <w:u w:val="single"/>
                </w:rPr>
                <w:t xml:space="preserve">Texto original (PDF)</w:t>
              </w:r>
            </w:hyperlink>
            <w:r>
              <w:rPr>
                <w:b w:val="0"/>
                <w:i w:val="0"/>
              </w:rPr>
              <w:t xml:space="preserve">; </w:t>
            </w:r>
            <w:r>
              <w:rPr>
                <w:b w:val="0"/>
                <w:i w:val="0"/>
              </w:rPr>
              <w:t>texto definitivo en proceso de carga</w:t>
            </w:r>
          </w:p>
        </w:tc>
      </w:tr>
    </w:tbl>
    <w:p>
      <w:pPr>
        <w:pStyle w:val="Heading1"/>
      </w:pPr>
      <w:r>
        <w:t>Etapa en la Cámara de Diputados</w:t>
      </w:r>
    </w:p>
    <w:tbl>
      <w:tblPr>
        <w:tblW w:type="auto" w:w="0"/>
        <w:tblBorders>
          <w:top w:val="single" w:sz="4" w:space="0" w:color="CBD5D1"/>
          <w:left w:val="nil"/>
          <w:bottom w:val="single" w:sz="4" w:space="0" w:color="CBD5D1"/>
          <w:right w:val="nil"/>
          <w:insideH w:val="single" w:sz="4" w:space="0" w:color="CBD5D1"/>
          <w:insideV w:val="nil"/>
        </w:tblBorders>
        <w:tblLayout w:type="fixed"/>
        <w:tblCellMar>
          <w:top w:w="50" w:type="dxa"/>
          <w:left w:w="6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6463"/>
      </w:tblGrid>
      <w:tr>
        <w:trPr>
          <w:cantSplit/>
        </w:trPr>
        <w:tc>
          <w:tcPr>
            <w:tcW w:type="dxa" w:w="2948"/>
          </w:tcPr>
          <w:p>
            <w:r>
              <w:rPr>
                <w:b w:val="0"/>
                <w:i w:val="0"/>
                <w:color w:val="55645F"/>
                <w:sz w:val="19"/>
              </w:rPr>
              <w:t>Expedientes en Diputados</w:t>
            </w:r>
          </w:p>
        </w:tc>
        <w:tc>
          <w:tcPr>
            <w:tcW w:type="dxa" w:w="6463"/>
          </w:tcPr>
          <w:p>
            <w:hyperlink r:id="rId14" w:history="1">
              <w:r>
                <w:rPr>
                  <w:color w:val="1F4E45"/>
                  <w:u w:val="single"/>
                </w:rPr>
                <w:t xml:space="preserve">1752-D-2023</w:t>
              </w:r>
            </w:hyperlink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b w:val="0"/>
                <w:i w:val="0"/>
                <w:color w:val="55645F"/>
                <w:sz w:val="19"/>
              </w:rPr>
              <w:t>Orden del Día de Diputados (dictamen)</w:t>
            </w:r>
          </w:p>
        </w:tc>
        <w:tc>
          <w:tcPr>
            <w:tcW w:type="dxa" w:w="6463"/>
          </w:tcPr>
          <w:p>
            <w:r>
              <w:rPr>
                <w:b w:val="0"/>
                <w:i w:val="0"/>
              </w:rPr>
              <w:t>N° 736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b w:val="0"/>
                <w:i w:val="0"/>
                <w:color w:val="55645F"/>
                <w:sz w:val="19"/>
              </w:rPr>
              <w:t>Trámite Parlamentario</w:t>
            </w:r>
          </w:p>
        </w:tc>
        <w:tc>
          <w:tcPr>
            <w:tcW w:type="dxa" w:w="6463"/>
          </w:tcPr>
          <w:p>
            <w:r>
              <w:rPr>
                <w:b w:val="0"/>
                <w:i w:val="0"/>
              </w:rPr>
              <w:t>N° 42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b w:val="0"/>
                <w:i w:val="0"/>
                <w:color w:val="55645F"/>
                <w:sz w:val="19"/>
              </w:rPr>
              <w:t>Sanción de Diputados</w:t>
            </w:r>
          </w:p>
        </w:tc>
        <w:tc>
          <w:tcPr>
            <w:tcW w:type="dxa" w:w="6463"/>
          </w:tcPr>
          <w:p>
            <w:r>
              <w:rPr>
                <w:b w:val="0"/>
                <w:i w:val="0"/>
              </w:rPr>
              <w:t>10/10/2023</w:t>
            </w:r>
          </w:p>
        </w:tc>
      </w:tr>
    </w:tbl>
    <w:p>
      <w:pPr>
        <w:pStyle w:val="Heading1"/>
      </w:pPr>
      <w:r>
        <w:t>Giros a comisiones</w:t>
      </w:r>
    </w:p>
    <w:tbl>
      <w:tblPr>
        <w:tblW w:type="auto" w:w="0"/>
        <w:jc w:val="left"/>
        <w:tblBorders>
          <w:top w:val="single" w:sz="4" w:space="0" w:color="CBD5D1"/>
          <w:left w:val="nil"/>
          <w:bottom w:val="single" w:sz="4" w:space="0" w:color="CBD5D1"/>
          <w:right w:val="nil"/>
          <w:insideH w:val="single" w:sz="4" w:space="0" w:color="CBD5D1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876"/>
        <w:gridCol w:w="1474"/>
        <w:gridCol w:w="1531"/>
        <w:gridCol w:w="1531"/>
      </w:tblGrid>
      <w:tr>
        <w:trPr>
          <w:tblHeader w:val="true"/>
        </w:trPr>
        <w:tc>
          <w:tcPr>
            <w:tcW w:type="dxa" w:w="4876"/>
            <w:shd w:val="clear" w:color="auto" w:fill="EEF2F0"/>
          </w:tcPr>
          <w:p>
            <w:r>
              <w:rPr>
                <w:b/>
                <w:i w:val="0"/>
                <w:color w:val="55645F"/>
                <w:sz w:val="18"/>
              </w:rPr>
              <w:t>Comisión</w:t>
            </w:r>
          </w:p>
        </w:tc>
        <w:tc>
          <w:tcPr>
            <w:tcW w:type="dxa" w:w="1474"/>
            <w:shd w:val="clear" w:color="auto" w:fill="EEF2F0"/>
          </w:tcPr>
          <w:p>
            <w:r>
              <w:rPr>
                <w:b/>
                <w:i w:val="0"/>
                <w:color w:val="55645F"/>
                <w:sz w:val="18"/>
              </w:rPr>
              <w:t>Orden de giro</w:t>
            </w:r>
          </w:p>
        </w:tc>
        <w:tc>
          <w:tcPr>
            <w:tcW w:type="dxa" w:w="1531"/>
            <w:shd w:val="clear" w:color="auto" w:fill="EEF2F0"/>
          </w:tcPr>
          <w:p>
            <w:r>
              <w:rPr>
                <w:b/>
                <w:i w:val="0"/>
                <w:color w:val="55645F"/>
                <w:sz w:val="18"/>
              </w:rPr>
              <w:t>Ingreso</w:t>
            </w:r>
          </w:p>
        </w:tc>
        <w:tc>
          <w:tcPr>
            <w:tcW w:type="dxa" w:w="1531"/>
            <w:shd w:val="clear" w:color="auto" w:fill="EEF2F0"/>
          </w:tcPr>
          <w:p>
            <w:r>
              <w:rPr>
                <w:b/>
                <w:i w:val="0"/>
                <w:color w:val="55645F"/>
                <w:sz w:val="18"/>
              </w:rPr>
              <w:t>Egreso</w:t>
            </w:r>
          </w:p>
        </w:tc>
      </w:tr>
      <w:tr>
        <w:trPr>
          <w:cantSplit/>
        </w:trPr>
        <w:tc>
          <w:tcPr>
            <w:tcW w:type="dxa" w:w="4876"/>
          </w:tcPr>
          <w:p>
            <w:r>
              <w:rPr>
                <w:b w:val="0"/>
                <w:i w:val="0"/>
                <w:sz w:val="19"/>
              </w:rPr>
              <w:t>Educación y Cultura</w:t>
            </w:r>
          </w:p>
        </w:tc>
        <w:tc>
          <w:tcPr>
            <w:tcW w:type="dxa" w:w="1474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9"/>
              </w:rPr>
              <w:t>09/02/2024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9"/>
              </w:rPr>
              <w:t>17/06/2026</w:t>
            </w:r>
          </w:p>
        </w:tc>
      </w:tr>
      <w:tr>
        <w:trPr>
          <w:cantSplit/>
        </w:trPr>
        <w:tc>
          <w:tcPr>
            <w:tcW w:type="dxa" w:w="4876"/>
          </w:tcPr>
          <w:p>
            <w:r>
              <w:rPr>
                <w:b w:val="0"/>
                <w:i w:val="0"/>
                <w:sz w:val="19"/>
              </w:rPr>
              <w:t>Presupuesto y Hacienda</w:t>
            </w:r>
          </w:p>
        </w:tc>
        <w:tc>
          <w:tcPr>
            <w:tcW w:type="dxa" w:w="1474"/>
          </w:tcPr>
          <w:p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9"/>
              </w:rPr>
              <w:t>09/02/2024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9"/>
              </w:rPr>
              <w:t>17/06/2026</w:t>
            </w:r>
          </w:p>
        </w:tc>
      </w:tr>
      <w:tr>
        <w:trPr>
          <w:cantSplit/>
        </w:trPr>
        <w:tc>
          <w:tcPr>
            <w:tcW w:type="dxa" w:w="4876"/>
          </w:tcPr>
          <w:p>
            <w:r>
              <w:rPr>
                <w:b w:val="0"/>
                <w:i w:val="0"/>
                <w:sz w:val="19"/>
              </w:rPr>
              <w:t>Educación y Cultura</w:t>
            </w:r>
          </w:p>
        </w:tc>
        <w:tc>
          <w:tcPr>
            <w:tcW w:type="dxa" w:w="1474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9"/>
              </w:rPr>
              <w:t>17/10/2023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9"/>
              </w:rPr>
              <w:t>18/10/2023</w:t>
            </w:r>
          </w:p>
        </w:tc>
      </w:tr>
      <w:tr>
        <w:trPr>
          <w:cantSplit/>
        </w:trPr>
        <w:tc>
          <w:tcPr>
            <w:tcW w:type="dxa" w:w="4876"/>
          </w:tcPr>
          <w:p>
            <w:r>
              <w:rPr>
                <w:b w:val="0"/>
                <w:i w:val="0"/>
                <w:sz w:val="19"/>
              </w:rPr>
              <w:t>Presupuesto y Hacienda</w:t>
            </w:r>
          </w:p>
        </w:tc>
        <w:tc>
          <w:tcPr>
            <w:tcW w:type="dxa" w:w="1474"/>
          </w:tcPr>
          <w:p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9"/>
              </w:rPr>
              <w:t>12/10/2023</w:t>
            </w:r>
          </w:p>
        </w:tc>
        <w:tc>
          <w:tcPr>
            <w:tcW w:type="dxa" w:w="1531"/>
          </w:tcPr>
          <w:p>
            <w:r>
              <w:rPr>
                <w:b w:val="0"/>
                <w:i w:val="0"/>
                <w:sz w:val="19"/>
              </w:rPr>
              <w:t>18/10/2023</w:t>
            </w:r>
          </w:p>
        </w:tc>
      </w:tr>
    </w:tbl>
    <w:p>
      <w:pPr>
        <w:pStyle w:val="Heading1"/>
      </w:pPr>
      <w:r>
        <w:t>Reuniones de comisión en que se trató</w:t>
      </w:r>
    </w:p>
    <w:tbl>
      <w:tblPr>
        <w:tblW w:type="auto" w:w="0"/>
        <w:jc w:val="left"/>
        <w:tblBorders>
          <w:top w:val="single" w:sz="4" w:space="0" w:color="CBD5D1"/>
          <w:left w:val="nil"/>
          <w:bottom w:val="single" w:sz="4" w:space="0" w:color="CBD5D1"/>
          <w:right w:val="nil"/>
          <w:insideH w:val="single" w:sz="4" w:space="0" w:color="CBD5D1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361"/>
        <w:gridCol w:w="4195"/>
        <w:gridCol w:w="1247"/>
        <w:gridCol w:w="2608"/>
      </w:tblGrid>
      <w:tr>
        <w:trPr>
          <w:tblHeader w:val="true"/>
        </w:trPr>
        <w:tc>
          <w:tcPr>
            <w:tcW w:type="dxa" w:w="1361"/>
            <w:shd w:val="clear" w:color="auto" w:fill="EEF2F0"/>
          </w:tcPr>
          <w:p>
            <w:r>
              <w:rPr>
                <w:b/>
                <w:i w:val="0"/>
                <w:color w:val="55645F"/>
                <w:sz w:val="18"/>
              </w:rPr>
              <w:t>Fecha</w:t>
            </w:r>
          </w:p>
        </w:tc>
        <w:tc>
          <w:tcPr>
            <w:tcW w:type="dxa" w:w="4195"/>
            <w:shd w:val="clear" w:color="auto" w:fill="EEF2F0"/>
          </w:tcPr>
          <w:p>
            <w:r>
              <w:rPr>
                <w:b/>
                <w:i w:val="0"/>
                <w:color w:val="55645F"/>
                <w:sz w:val="18"/>
              </w:rPr>
              <w:t>Reunión</w:t>
            </w:r>
          </w:p>
        </w:tc>
        <w:tc>
          <w:tcPr>
            <w:tcW w:type="dxa" w:w="1247"/>
            <w:shd w:val="clear" w:color="auto" w:fill="EEF2F0"/>
          </w:tcPr>
          <w:p>
            <w:r>
              <w:rPr>
                <w:b/>
                <w:i w:val="0"/>
                <w:color w:val="55645F"/>
                <w:sz w:val="18"/>
              </w:rPr>
              <w:t>Tipo</w:t>
            </w:r>
          </w:p>
        </w:tc>
        <w:tc>
          <w:tcPr>
            <w:tcW w:type="dxa" w:w="2608"/>
            <w:shd w:val="clear" w:color="auto" w:fill="EEF2F0"/>
          </w:tcPr>
          <w:p>
            <w:r>
              <w:rPr>
                <w:b/>
                <w:i w:val="0"/>
                <w:color w:val="55645F"/>
                <w:sz w:val="18"/>
              </w:rPr>
              <w:t>Documentos</w:t>
            </w:r>
          </w:p>
        </w:tc>
      </w:tr>
      <w:tr>
        <w:trPr>
          <w:cantSplit/>
        </w:trPr>
        <w:tc>
          <w:tcPr>
            <w:tcW w:type="dxa" w:w="1361"/>
          </w:tcPr>
          <w:p>
            <w:hyperlink r:id="rId15" w:history="1">
              <w:r>
                <w:rPr>
                  <w:color w:val="1F4E45"/>
                  <w:sz w:val="19"/>
                  <w:u w:val="single"/>
                </w:rPr>
                <w:t xml:space="preserve">24/09/2025</w:t>
              </w:r>
            </w:hyperlink>
          </w:p>
        </w:tc>
        <w:tc>
          <w:tcPr>
            <w:tcW w:type="dxa" w:w="4195"/>
          </w:tcPr>
          <w:p>
            <w:hyperlink r:id="rId15" w:history="1">
              <w:r>
                <w:rPr>
                  <w:color w:val="1F4E45"/>
                  <w:sz w:val="19"/>
                  <w:u w:val="single"/>
                </w:rPr>
                <w:t xml:space="preserve">REUNIÓN CONJUNTA DE ASESORES DE LAS COMISIONES DE EDUCACIÓN Y CULTURA Y DE PRESUPUESTO Y HACIENDA</w:t>
              </w:r>
            </w:hyperlink>
          </w:p>
          <w:p>
            <w:r>
              <w:rPr>
                <w:b w:val="0"/>
                <w:i w:val="0"/>
                <w:color w:val="55645F"/>
                <w:sz w:val="17"/>
              </w:rPr>
              <w:t>Educación y Cultura</w:t>
            </w:r>
          </w:p>
        </w:tc>
        <w:tc>
          <w:tcPr>
            <w:tcW w:type="dxa" w:w="1247"/>
          </w:tcPr>
          <w:p>
            <w:r>
              <w:rPr>
                <w:b w:val="0"/>
                <w:i w:val="0"/>
                <w:color w:val="55645F"/>
                <w:sz w:val="18"/>
              </w:rPr>
              <w:t>Asesores</w:t>
            </w:r>
          </w:p>
        </w:tc>
        <w:tc>
          <w:tcPr>
            <w:tcW w:type="dxa" w:w="2608"/>
          </w:tcPr>
          <w:p>
            <w:r>
              <w:rPr>
                <w:b w:val="0"/>
                <w:i/>
                <w:color w:val="55645F"/>
                <w:sz w:val="18"/>
              </w:rPr>
              <w:t>sin archivos</w:t>
            </w:r>
          </w:p>
        </w:tc>
      </w:tr>
      <w:tr>
        <w:trPr>
          <w:cantSplit/>
        </w:trPr>
        <w:tc>
          <w:tcPr>
            <w:tcW w:type="dxa" w:w="1361"/>
          </w:tcPr>
          <w:p>
            <w:hyperlink r:id="rId16" w:history="1">
              <w:r>
                <w:rPr>
                  <w:color w:val="1F4E45"/>
                  <w:sz w:val="19"/>
                  <w:u w:val="single"/>
                </w:rPr>
                <w:t xml:space="preserve">01/10/2025</w:t>
              </w:r>
            </w:hyperlink>
          </w:p>
        </w:tc>
        <w:tc>
          <w:tcPr>
            <w:tcW w:type="dxa" w:w="4195"/>
          </w:tcPr>
          <w:p>
            <w:hyperlink r:id="rId16" w:history="1">
              <w:r>
                <w:rPr>
                  <w:color w:val="1F4E45"/>
                  <w:sz w:val="19"/>
                  <w:u w:val="single"/>
                </w:rPr>
                <w:t xml:space="preserve">CREACION DE UNIVERSIDADES</w:t>
              </w:r>
            </w:hyperlink>
          </w:p>
          <w:p>
            <w:r>
              <w:rPr>
                <w:b w:val="0"/>
                <w:i w:val="0"/>
                <w:color w:val="55645F"/>
                <w:sz w:val="17"/>
              </w:rPr>
              <w:t>Educación y Cultura y Presupuesto y Hacienda</w:t>
            </w:r>
          </w:p>
        </w:tc>
        <w:tc>
          <w:tcPr>
            <w:tcW w:type="dxa" w:w="1247"/>
          </w:tcPr>
          <w:p>
            <w:r>
              <w:rPr>
                <w:b w:val="0"/>
                <w:i w:val="0"/>
                <w:color w:val="55645F"/>
                <w:sz w:val="18"/>
              </w:rPr>
              <w:t>Plenario</w:t>
            </w:r>
          </w:p>
        </w:tc>
        <w:tc>
          <w:tcPr>
            <w:tcW w:type="dxa" w:w="2608"/>
          </w:tcPr>
          <w:p>
            <w:hyperlink r:id="rId17" w:history="1">
              <w:r>
                <w:rPr>
                  <w:color w:val="1F4E45"/>
                  <w:sz w:val="18"/>
                  <w:u w:val="single"/>
                </w:rPr>
                <w:t xml:space="preserve">Versión taquigráfica</w:t>
              </w:r>
            </w:hyperlink>
          </w:p>
          <w:p>
            <w:hyperlink r:id="rId18" w:history="1">
              <w:r>
                <w:rPr>
                  <w:color w:val="1F4E45"/>
                  <w:sz w:val="18"/>
                  <w:u w:val="single"/>
                </w:rPr>
                <w:t xml:space="preserve">Video</w:t>
              </w:r>
            </w:hyperlink>
          </w:p>
        </w:tc>
      </w:tr>
    </w:tbl>
    <w:p>
      <w:pPr>
        <w:spacing w:before="80"/>
      </w:pPr>
      <w:r>
        <w:rPr>
          <w:b w:val="0"/>
          <w:i w:val="0"/>
          <w:color w:val="55645F"/>
          <w:sz w:val="17"/>
        </w:rPr>
        <w:t>Se revisaron 16 reuniones publicadas por las comisiones de Educación y Cultura y Presupuesto y Hacienda, entre el 11/10/2023 y el 24/06/2026, incluidas las reuniones de asesores.</w:t>
      </w:r>
    </w:p>
    <w:p>
      <w:pPr>
        <w:pStyle w:val="Heading1"/>
      </w:pPr>
      <w:r>
        <w:t>Órdenes del Día del Senado</w:t>
      </w:r>
    </w:p>
    <w:tbl>
      <w:tblPr>
        <w:tblW w:type="auto" w:w="0"/>
        <w:jc w:val="left"/>
        <w:tblBorders>
          <w:top w:val="single" w:sz="4" w:space="0" w:color="CBD5D1"/>
          <w:left w:val="nil"/>
          <w:bottom w:val="single" w:sz="4" w:space="0" w:color="CBD5D1"/>
          <w:right w:val="nil"/>
          <w:insideH w:val="single" w:sz="4" w:space="0" w:color="CBD5D1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701"/>
        <w:gridCol w:w="1474"/>
        <w:gridCol w:w="3855"/>
        <w:gridCol w:w="2381"/>
      </w:tblGrid>
      <w:tr>
        <w:trPr>
          <w:tblHeader w:val="true"/>
        </w:trPr>
        <w:tc>
          <w:tcPr>
            <w:tcW w:type="dxa" w:w="1701"/>
            <w:shd w:val="clear" w:color="auto" w:fill="EEF2F0"/>
          </w:tcPr>
          <w:p>
            <w:r>
              <w:rPr>
                <w:b/>
                <w:i w:val="0"/>
                <w:color w:val="55645F"/>
                <w:sz w:val="18"/>
              </w:rPr>
              <w:t>Número</w:t>
            </w:r>
          </w:p>
        </w:tc>
        <w:tc>
          <w:tcPr>
            <w:tcW w:type="dxa" w:w="1474"/>
            <w:shd w:val="clear" w:color="auto" w:fill="EEF2F0"/>
          </w:tcPr>
          <w:p>
            <w:r>
              <w:rPr>
                <w:b/>
                <w:i w:val="0"/>
                <w:color w:val="55645F"/>
                <w:sz w:val="18"/>
              </w:rPr>
              <w:t>Fecha</w:t>
            </w:r>
          </w:p>
        </w:tc>
        <w:tc>
          <w:tcPr>
            <w:tcW w:type="dxa" w:w="3855"/>
            <w:shd w:val="clear" w:color="auto" w:fill="EEF2F0"/>
          </w:tcPr>
          <w:p>
            <w:r>
              <w:rPr>
                <w:b/>
                <w:i w:val="0"/>
                <w:color w:val="55645F"/>
                <w:sz w:val="18"/>
              </w:rPr>
              <w:t>Estado</w:t>
            </w:r>
          </w:p>
        </w:tc>
        <w:tc>
          <w:tcPr>
            <w:tcW w:type="dxa" w:w="2381"/>
            <w:shd w:val="clear" w:color="auto" w:fill="EEF2F0"/>
          </w:tcPr>
          <w:p>
            <w:r>
              <w:rPr>
                <w:b/>
                <w:i w:val="0"/>
                <w:color w:val="55645F"/>
                <w:sz w:val="18"/>
              </w:rPr>
              <w:t>Texto</w:t>
            </w:r>
          </w:p>
        </w:tc>
      </w:tr>
      <w:tr>
        <w:trPr>
          <w:cantSplit/>
        </w:trPr>
        <w:tc>
          <w:tcPr>
            <w:tcW w:type="dxa" w:w="1701"/>
          </w:tcPr>
          <w:p>
            <w:hyperlink r:id="rId19" w:history="1">
              <w:r>
                <w:rPr>
                  <w:color w:val="1F4E45"/>
                  <w:sz w:val="19"/>
                  <w:u w:val="single"/>
                </w:rPr>
                <w:t xml:space="preserve">N° 234/23</w:t>
              </w:r>
            </w:hyperlink>
          </w:p>
        </w:tc>
        <w:tc>
          <w:tcPr>
            <w:tcW w:type="dxa" w:w="1474"/>
          </w:tcPr>
          <w:p>
            <w:r>
              <w:rPr>
                <w:b w:val="0"/>
                <w:i w:val="0"/>
                <w:sz w:val="19"/>
              </w:rPr>
              <w:t>18/10/2023</w:t>
            </w:r>
          </w:p>
        </w:tc>
        <w:tc>
          <w:tcPr>
            <w:tcW w:type="dxa" w:w="3855"/>
          </w:tcPr>
          <w:p>
            <w:r>
              <w:rPr>
                <w:b w:val="0"/>
                <w:i w:val="0"/>
                <w:sz w:val="19"/>
              </w:rPr>
              <w:t>Caduca por renov. bienal</w:t>
            </w:r>
          </w:p>
        </w:tc>
        <w:tc>
          <w:tcPr>
            <w:tcW w:type="dxa" w:w="2381"/>
          </w:tcPr>
          <w:p>
            <w:hyperlink r:id="rId20" w:history="1">
              <w:r>
                <w:rPr>
                  <w:color w:val="1F4E45"/>
                  <w:sz w:val="19"/>
                  <w:u w:val="single"/>
                </w:rPr>
                <w:t xml:space="preserve">Dictamen (PDF)</w:t>
              </w:r>
            </w:hyperlink>
          </w:p>
        </w:tc>
      </w:tr>
    </w:tbl>
    <w:p>
      <w:pPr>
        <w:pStyle w:val="Heading1"/>
      </w:pPr>
      <w:r>
        <w:t>Observaciones de la ficha</w:t>
      </w:r>
    </w:p>
    <w:p>
      <w:pPr>
        <w:pStyle w:val="ListBullet"/>
      </w:pPr>
      <w:r>
        <w:t>06-02-2024- VUELVE A LA COMISION POR RENOVACION BIENAL DEL CUERPO ISP-5/24, SEGUN LO ESTABLECIDO EN EL CUARTO PARRAFO DEL ART. 106 DEL REGLAMENTO DEL H. SENADO.</w:t>
      </w:r>
    </w:p>
    <w:p>
      <w:pPr>
        <w:pStyle w:val="Heading1"/>
      </w:pPr>
      <w:r>
        <w:t>Notas</w:t>
      </w:r>
    </w:p>
    <w:p>
      <w:r>
        <w:rPr>
          <w:rFonts w:ascii="Georgia" w:hAnsi="Georgia" w:eastAsia="Georgia"/>
          <w:b w:val="0"/>
          <w:i w:val="0"/>
          <w:sz w:val="21"/>
        </w:rPr>
        <w:t>Informe solicitado por la Secretaría de la Comisión de Educación y Cultura.</w:t>
      </w:r>
    </w:p>
    <w:p>
      <w:pPr>
        <w:spacing w:before="440"/>
      </w:pPr>
      <w:r>
        <w:rPr>
          <w:b w:val="0"/>
          <w:i w:val="0"/>
          <w:color w:val="55645F"/>
          <w:sz w:val="17"/>
        </w:rPr>
        <w:t xml:space="preserve">Informe generado automáticamente con datos públicos del sitio del H. Senado de la Nación. Antes de usarlo en un trámite oficial, verificá los datos en la </w:t>
      </w:r>
      <w:hyperlink r:id="rId12" w:history="1">
        <w:r>
          <w:rPr>
            <w:color w:val="1F4E45"/>
            <w:sz w:val="17"/>
            <w:u w:val="single"/>
          </w:rPr>
          <w:t xml:space="preserve">ficha del expediente</w:t>
        </w:r>
      </w:hyperlink>
      <w:r>
        <w:rPr>
          <w:b w:val="0"/>
          <w:i w:val="0"/>
          <w:color w:val="55645F"/>
          <w:sz w:val="17"/>
        </w:rPr>
        <w:t>. Programa Informe de Expedientes, versión 1.0.0.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134" w:right="1247" w:bottom="1134" w:left="124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55645F"/>
        <w:sz w:val="16"/>
      </w:rPr>
      <w:t>Generado el 29/10/2026 18:31 h con datos públicos de senado.gob.ar</w:t>
    </w:r>
    <w:r>
      <w:rPr>
        <w:color w:val="55645F"/>
        <w:sz w:val="16"/>
      </w:rPr>
      <w:tab/>
      <w:t xml:space="preserve">Página </w:t>
    </w:r>
    <w:r>
      <w:rPr>
        <w:color w:val="55645F"/>
        <w:sz w:val="16"/>
      </w:rPr>
      <w:fldChar w:fldCharType="begin"/>
    </w:r>
    <w:r>
      <w:rPr>
        <w:color w:val="55645F"/>
        <w:sz w:val="16"/>
      </w:rPr>
      <w:instrText xml:space="preserve"> PAGE </w:instrText>
    </w:r>
    <w:r>
      <w:rPr>
        <w:color w:val="55645F"/>
        <w:sz w:val="16"/>
      </w:rPr>
      <w:fldChar w:fldCharType="separate"/>
    </w:r>
    <w:r>
      <w:rPr>
        <w:color w:val="55645F"/>
        <w:sz w:val="16"/>
      </w:rPr>
      <w:t>1</w:t>
    </w:r>
    <w:r>
      <w:rPr>
        <w:color w:val="55645F"/>
        <w:sz w:val="16"/>
      </w:rPr>
      <w:fldChar w:fldCharType="end"/>
    </w:r>
    <w:r>
      <w:rPr>
        <w:color w:val="55645F"/>
        <w:sz w:val="16"/>
      </w:rPr>
      <w:t xml:space="preserve"> de </w:t>
    </w:r>
    <w:r>
      <w:rPr>
        <w:color w:val="55645F"/>
        <w:sz w:val="16"/>
      </w:rPr>
      <w:fldChar w:fldCharType="begin"/>
    </w:r>
    <w:r>
      <w:rPr>
        <w:color w:val="55645F"/>
        <w:sz w:val="16"/>
      </w:rPr>
      <w:instrText xml:space="preserve"> NUMPAGES </w:instrText>
    </w:r>
    <w:r>
      <w:rPr>
        <w:color w:val="55645F"/>
        <w:sz w:val="16"/>
      </w:rPr>
      <w:fldChar w:fldCharType="separate"/>
    </w:r>
    <w:r>
      <w:rPr>
        <w:color w:val="55645F"/>
        <w:sz w:val="16"/>
      </w:rPr>
      <w:t>1</w:t>
    </w:r>
    <w:r>
      <w:rPr>
        <w:color w:val="55645F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55645F"/>
        <w:sz w:val="16"/>
      </w:rPr>
      <w:t>Generado el 29/10/2026 18:31 h con datos públicos de senado.gob.ar</w:t>
    </w:r>
    <w:r>
      <w:rPr>
        <w:color w:val="55645F"/>
        <w:sz w:val="16"/>
      </w:rPr>
      <w:tab/>
      <w:t xml:space="preserve">Página </w:t>
    </w:r>
    <w:r>
      <w:rPr>
        <w:color w:val="55645F"/>
        <w:sz w:val="16"/>
      </w:rPr>
      <w:fldChar w:fldCharType="begin"/>
    </w:r>
    <w:r>
      <w:rPr>
        <w:color w:val="55645F"/>
        <w:sz w:val="16"/>
      </w:rPr>
      <w:instrText xml:space="preserve"> PAGE </w:instrText>
    </w:r>
    <w:r>
      <w:rPr>
        <w:color w:val="55645F"/>
        <w:sz w:val="16"/>
      </w:rPr>
      <w:fldChar w:fldCharType="separate"/>
    </w:r>
    <w:r>
      <w:rPr>
        <w:color w:val="55645F"/>
        <w:sz w:val="16"/>
      </w:rPr>
      <w:t>1</w:t>
    </w:r>
    <w:r>
      <w:rPr>
        <w:color w:val="55645F"/>
        <w:sz w:val="16"/>
      </w:rPr>
      <w:fldChar w:fldCharType="end"/>
    </w:r>
    <w:r>
      <w:rPr>
        <w:color w:val="55645F"/>
        <w:sz w:val="16"/>
      </w:rPr>
      <w:t xml:space="preserve"> de </w:t>
    </w:r>
    <w:r>
      <w:rPr>
        <w:color w:val="55645F"/>
        <w:sz w:val="16"/>
      </w:rPr>
      <w:fldChar w:fldCharType="begin"/>
    </w:r>
    <w:r>
      <w:rPr>
        <w:color w:val="55645F"/>
        <w:sz w:val="16"/>
      </w:rPr>
      <w:instrText xml:space="preserve"> NUMPAGES </w:instrText>
    </w:r>
    <w:r>
      <w:rPr>
        <w:color w:val="55645F"/>
        <w:sz w:val="16"/>
      </w:rPr>
      <w:fldChar w:fldCharType="separate"/>
    </w:r>
    <w:r>
      <w:rPr>
        <w:color w:val="55645F"/>
        <w:sz w:val="16"/>
      </w:rPr>
      <w:t>1</w:t>
    </w:r>
    <w:r>
      <w:rPr>
        <w:color w:val="55645F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645F"/>
        <w:sz w:val="16"/>
      </w:rPr>
      <w:t>H. Senado de la Nación — Informe de expediente CD-35/23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Segoe UI" w:hAnsi="Segoe UI" w:cs="Segoe UI" w:eastAsia="Segoe UI"/>
      <w:color w:val="1F2B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Georgia" w:hAnsi="Georgia" w:cs="Georgia" w:eastAsia="Georgia"/>
      <w:b w:val="0"/>
      <w:bCs/>
      <w:color w:val="1F4E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Georgia" w:hAnsi="Georgia" w:cs="Georgia" w:eastAsia="Georgia"/>
      <w:b w:val="0"/>
      <w:bCs/>
      <w:color w:val="1F4E4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 w:cs="Segoe UI" w:eastAsia="Segoe UI"/>
      <w:color w:val="1F2B28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www.senado.gob.ar/parlamentario/comisiones/verExp/35.23/CD/PL" TargetMode="External"/><Relationship Id="rId13" Type="http://schemas.openxmlformats.org/officeDocument/2006/relationships/hyperlink" Target="https://www.senado.gob.ar/parlamentario/parlamentaria/475915/downloadPdf" TargetMode="External"/><Relationship Id="rId14" Type="http://schemas.openxmlformats.org/officeDocument/2006/relationships/hyperlink" Target="https://www.hcdn.gob.ar/proyectos/proyecto.jsp?exp=1752-D-2023" TargetMode="External"/><Relationship Id="rId15" Type="http://schemas.openxmlformats.org/officeDocument/2006/relationships/hyperlink" Target="https://www.senado.gob.ar/micrositios/nota/23192/noticias" TargetMode="External"/><Relationship Id="rId16" Type="http://schemas.openxmlformats.org/officeDocument/2006/relationships/hyperlink" Target="https://www.senado.gob.ar/micrositios/nota/23244/noticias" TargetMode="External"/><Relationship Id="rId17" Type="http://schemas.openxmlformats.org/officeDocument/2006/relationships/hyperlink" Target="https://www.senado.gob.ar/upload/archivo/55722" TargetMode="External"/><Relationship Id="rId18" Type="http://schemas.openxmlformats.org/officeDocument/2006/relationships/hyperlink" Target="https://www.youtube.com/watch?v=4JjcptV_SKU" TargetMode="External"/><Relationship Id="rId19" Type="http://schemas.openxmlformats.org/officeDocument/2006/relationships/hyperlink" Target="https://www.senado.gob.ar/parlamentario/parlamentaria/ordenDelDiaResultadoLink/2023/234" TargetMode="External"/><Relationship Id="rId20" Type="http://schemas.openxmlformats.org/officeDocument/2006/relationships/hyperlink" Target="https://www.senado.gob.ar/parlamentario/parlamentaria/34120/downloadOrden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expediente CD-35/23</dc:title>
  <dc:subject>PROYECTO DE LEY EN REVISION QUE CREA LA UNIVERSIDAD NACIONAL DE LA CUENCA DEL SALADO, CON SEDE CENTRAL EN EL DISTRITO DE CAÑUELAS, PROV. DE BS. AS.</dc:subject>
  <dc:creator>Informe de Expedientes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