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4343" w:val="right"/>
        </w:tabs>
        <w:spacing w:after="0"/>
      </w:pPr>
      <w:r>
        <w:rPr>
          <w:b w:val="0"/>
          <w:i w:val="0"/>
          <w:color w:val="55645F"/>
          <w:sz w:val="18"/>
        </w:rPr>
        <w:t>H. Senado de la Nación</w:t>
      </w:r>
      <w:r>
        <w:rPr>
          <w:b w:val="0"/>
          <w:i w:val="0"/>
          <w:color w:val="55645F"/>
          <w:sz w:val="18"/>
        </w:rPr>
        <w:tab/>
        <w:t>Informe del 29/10/2026, 18:31 h</w:t>
      </w:r>
    </w:p>
    <w:p>
      <w:pPr>
        <w:spacing w:before="80"/>
      </w:pPr>
      <w:r>
        <w:rPr>
          <w:b/>
          <w:i w:val="0"/>
          <w:color w:val="8C2F2F"/>
          <w:sz w:val="18"/>
        </w:rPr>
        <w:t xml:space="preserve">Ejemplo generado con páginas de prueba. </w:t>
      </w:r>
      <w:r>
        <w:rPr>
          <w:b w:val="0"/>
          <w:i w:val="0"/>
          <w:color w:val="8C2F2F"/>
          <w:sz w:val="18"/>
        </w:rPr>
        <w:t>No reemplaza una consulta real.</w:t>
      </w:r>
    </w:p>
    <w:p>
      <w:pPr>
        <w:spacing w:before="240" w:after="0"/>
      </w:pPr>
      <w:r>
        <w:rPr>
          <w:b w:val="0"/>
          <w:i w:val="0"/>
          <w:color w:val="55645F"/>
          <w:sz w:val="22"/>
        </w:rPr>
        <w:t>Informe temático</w:t>
      </w:r>
    </w:p>
    <w:p>
      <w:pPr>
        <w:spacing w:after="160"/>
      </w:pPr>
      <w:r>
        <w:rPr>
          <w:rFonts w:ascii="Georgia" w:hAnsi="Georgia" w:eastAsia="Georgia"/>
          <w:b w:val="0"/>
          <w:i w:val="0"/>
          <w:color w:val="1F2B28"/>
          <w:sz w:val="48"/>
        </w:rPr>
        <w:t>universidad, financiamiento</w:t>
      </w:r>
    </w:p>
    <w:tbl>
      <w:tblPr>
        <w:tblW w:type="auto" w:w="0"/>
        <w:tblBorders>
          <w:top w:val="single" w:sz="4" w:space="0" w:color="E4EFEB"/>
          <w:left w:val="nil"/>
          <w:bottom w:val="single" w:sz="4" w:space="0" w:color="E4EFEB"/>
          <w:right w:val="nil"/>
          <w:insideH w:val="single" w:sz="4" w:space="0" w:color="E4EFEB"/>
          <w:insideV w:val="nil"/>
        </w:tblBorders>
        <w:tblLayout w:type="fixed"/>
        <w:tblCellMar>
          <w:top w:w="160" w:type="dxa"/>
          <w:left w:w="260" w:type="dxa"/>
          <w:bottom w:w="140" w:type="dxa"/>
          <w:right w:w="200" w:type="dxa"/>
        </w:tblCellMar>
        <w:tblLook w:firstColumn="1" w:firstRow="1" w:lastColumn="0" w:lastRow="0" w:noHBand="0" w:noVBand="1" w:val="04A0"/>
      </w:tblPr>
      <w:tblGrid>
        <w:gridCol w:w="14344"/>
      </w:tblGrid>
      <w:tr>
        <w:tc>
          <w:tcPr>
            <w:tcW w:type="dxa" w:w="14343"/>
            <w:tcBorders>
              <w:left w:val="single" w:sz="36" w:space="0" w:color="2E6B5F"/>
            </w:tcBorders>
            <w:shd w:val="clear" w:color="auto" w:fill="E4EFEB"/>
          </w:tcPr>
          <w:p>
            <w:r>
              <w:rPr>
                <w:rFonts w:ascii="Georgia" w:hAnsi="Georgia" w:eastAsia="Georgia"/>
                <w:b w:val="0"/>
                <w:i w:val="0"/>
                <w:color w:val="1F2B28"/>
                <w:sz w:val="25"/>
              </w:rPr>
              <w:t>Se identificaron TRES (3) expedientes que mencionan alguna de estas palabras en su extracto: universidad, financiamiento, ingresados entre 2023 y 2026: UN (1) vetado, UN (1) caducado y UN (1) cuya ficha no se pudo leer.</w:t>
            </w:r>
          </w:p>
          <w:p>
            <w:pPr>
              <w:spacing w:before="80"/>
            </w:pPr>
            <w:r>
              <w:rPr>
                <w:b w:val="0"/>
                <w:i w:val="0"/>
                <w:color w:val="55645F"/>
                <w:sz w:val="19"/>
              </w:rPr>
              <w:t>Por tipo: TRES (3) proyectos de ley.</w:t>
            </w:r>
          </w:p>
        </w:tc>
      </w:tr>
    </w:tbl>
    <w:p>
      <w:pPr>
        <w:pStyle w:val="Heading1"/>
      </w:pPr>
      <w:r>
        <w:t>Expedientes por etapa</w:t>
      </w:r>
    </w:p>
    <w:tbl>
      <w:tblPr>
        <w:tblW w:type="auto" w:w="0"/>
        <w:jc w:val="left"/>
        <w:tblBorders>
          <w:top w:val="single" w:sz="4" w:space="0" w:color="CBD5D1"/>
          <w:left w:val="nil"/>
          <w:bottom w:val="single" w:sz="4" w:space="0" w:color="CBD5D1"/>
          <w:right w:val="nil"/>
          <w:insideH w:val="single" w:sz="4" w:space="0" w:color="CBD5D1"/>
          <w:insideV w:val="nil"/>
        </w:tblBorders>
        <w:tblLayout w:type="fixed"/>
        <w:tblCellMar>
          <w:top w:w="60" w:type="dxa"/>
          <w:left w:w="100" w:type="dxa"/>
          <w:bottom w:w="60" w:type="dxa"/>
          <w:right w:w="100" w:type="dxa"/>
        </w:tblCellMar>
        <w:tblLook w:firstColumn="1" w:firstRow="1" w:lastColumn="0" w:lastRow="0" w:noHBand="0" w:noVBand="1" w:val="04A0"/>
      </w:tblPr>
      <w:tblGrid>
        <w:gridCol w:w="3969"/>
        <w:gridCol w:w="1701"/>
      </w:tblGrid>
      <w:tr>
        <w:trPr>
          <w:tblHeader w:val="true"/>
        </w:trPr>
        <w:tc>
          <w:tcPr>
            <w:tcW w:type="dxa" w:w="3969"/>
            <w:shd w:val="clear" w:color="auto" w:fill="EEF2F0"/>
          </w:tcPr>
          <w:p>
            <w:r>
              <w:rPr>
                <w:b/>
                <w:i w:val="0"/>
                <w:color w:val="55645F"/>
                <w:sz w:val="18"/>
              </w:rPr>
              <w:t>Etapa</w:t>
            </w:r>
          </w:p>
        </w:tc>
        <w:tc>
          <w:tcPr>
            <w:tcW w:type="dxa" w:w="1701"/>
            <w:shd w:val="clear" w:color="auto" w:fill="EEF2F0"/>
          </w:tcPr>
          <w:p>
            <w:r>
              <w:rPr>
                <w:b/>
                <w:i w:val="0"/>
                <w:color w:val="55645F"/>
                <w:sz w:val="18"/>
              </w:rPr>
              <w:t>Expedientes</w:t>
            </w:r>
          </w:p>
        </w:tc>
      </w:tr>
      <w:tr>
        <w:trPr>
          <w:cantSplit/>
        </w:trPr>
        <w:tc>
          <w:tcPr>
            <w:tcW w:type="dxa" w:w="3969"/>
          </w:tcPr>
          <w:p>
            <w:r>
              <w:rPr>
                <w:b w:val="0"/>
                <w:i w:val="0"/>
                <w:sz w:val="19"/>
              </w:rPr>
              <w:t>Vetado</w:t>
            </w:r>
          </w:p>
        </w:tc>
        <w:tc>
          <w:tcPr>
            <w:tcW w:type="dxa" w:w="1701"/>
          </w:tcPr>
          <w:p>
            <w:r>
              <w:rPr>
                <w:b w:val="0"/>
                <w:i w:val="0"/>
                <w:sz w:val="19"/>
              </w:rPr>
              <w:t>1</w:t>
            </w:r>
          </w:p>
        </w:tc>
      </w:tr>
      <w:tr>
        <w:trPr>
          <w:cantSplit/>
        </w:trPr>
        <w:tc>
          <w:tcPr>
            <w:tcW w:type="dxa" w:w="3969"/>
          </w:tcPr>
          <w:p>
            <w:r>
              <w:rPr>
                <w:b w:val="0"/>
                <w:i w:val="0"/>
                <w:sz w:val="19"/>
              </w:rPr>
              <w:t>Caducado</w:t>
            </w:r>
          </w:p>
        </w:tc>
        <w:tc>
          <w:tcPr>
            <w:tcW w:type="dxa" w:w="1701"/>
          </w:tcPr>
          <w:p>
            <w:r>
              <w:rPr>
                <w:b w:val="0"/>
                <w:i w:val="0"/>
                <w:sz w:val="19"/>
              </w:rPr>
              <w:t>1</w:t>
            </w:r>
          </w:p>
        </w:tc>
      </w:tr>
      <w:tr>
        <w:trPr>
          <w:cantSplit/>
        </w:trPr>
        <w:tc>
          <w:tcPr>
            <w:tcW w:type="dxa" w:w="3969"/>
          </w:tcPr>
          <w:p>
            <w:r>
              <w:rPr>
                <w:b w:val="0"/>
                <w:i w:val="0"/>
                <w:sz w:val="19"/>
              </w:rPr>
              <w:t>Ficha no disponible</w:t>
            </w:r>
          </w:p>
        </w:tc>
        <w:tc>
          <w:tcPr>
            <w:tcW w:type="dxa" w:w="1701"/>
          </w:tcPr>
          <w:p>
            <w:r>
              <w:rPr>
                <w:b w:val="0"/>
                <w:i w:val="0"/>
                <w:sz w:val="19"/>
              </w:rPr>
              <w:t>1</w:t>
            </w:r>
          </w:p>
        </w:tc>
      </w:tr>
    </w:tbl>
    <w:p>
      <w:pPr>
        <w:pStyle w:val="Heading1"/>
      </w:pPr>
      <w:r>
        <w:t>Criterios de búsqueda</w:t>
      </w:r>
    </w:p>
    <w:tbl>
      <w:tblPr>
        <w:tblW w:type="auto" w:w="0"/>
        <w:tblBorders>
          <w:top w:val="single" w:sz="4" w:space="0" w:color="CBD5D1"/>
          <w:left w:val="nil"/>
          <w:bottom w:val="single" w:sz="4" w:space="0" w:color="CBD5D1"/>
          <w:right w:val="nil"/>
          <w:insideH w:val="single" w:sz="4" w:space="0" w:color="CBD5D1"/>
          <w:insideV w:val="nil"/>
        </w:tblBorders>
        <w:tblLayout w:type="fixed"/>
        <w:tblCellMar>
          <w:top w:w="50" w:type="dxa"/>
          <w:left w:w="60" w:type="dxa"/>
          <w:bottom w:w="50" w:type="dxa"/>
          <w:right w:w="100" w:type="dxa"/>
        </w:tblCellMar>
        <w:tblLook w:firstColumn="1" w:firstRow="1" w:lastColumn="0" w:lastRow="0" w:noHBand="0" w:noVBand="1" w:val="04A0"/>
      </w:tblPr>
      <w:tblGrid>
        <w:gridCol w:w="2948"/>
        <w:gridCol w:w="11395"/>
      </w:tblGrid>
      <w:tr>
        <w:trPr>
          <w:cantSplit/>
        </w:trPr>
        <w:tc>
          <w:tcPr>
            <w:tcW w:type="dxa" w:w="2948"/>
          </w:tcPr>
          <w:p>
            <w:r>
              <w:rPr>
                <w:b w:val="0"/>
                <w:i w:val="0"/>
                <w:color w:val="55645F"/>
                <w:sz w:val="19"/>
              </w:rPr>
              <w:t>Palabras clave</w:t>
            </w:r>
          </w:p>
        </w:tc>
        <w:tc>
          <w:tcPr>
            <w:tcW w:type="dxa" w:w="11395"/>
          </w:tcPr>
          <w:p>
            <w:r>
              <w:rPr>
                <w:b w:val="0"/>
                <w:i w:val="0"/>
              </w:rPr>
              <w:t>universidad, financiamiento (alguna)</w:t>
            </w:r>
          </w:p>
        </w:tc>
      </w:tr>
      <w:tr>
        <w:trPr>
          <w:cantSplit/>
        </w:trPr>
        <w:tc>
          <w:tcPr>
            <w:tcW w:type="dxa" w:w="2948"/>
          </w:tcPr>
          <w:p>
            <w:r>
              <w:rPr>
                <w:b w:val="0"/>
                <w:i w:val="0"/>
                <w:color w:val="55645F"/>
                <w:sz w:val="19"/>
              </w:rPr>
              <w:t>Se excluyen</w:t>
            </w:r>
          </w:p>
        </w:tc>
        <w:tc>
          <w:tcPr>
            <w:tcW w:type="dxa" w:w="11395"/>
          </w:tcPr>
          <w:p>
            <w:r>
              <w:rPr>
                <w:b w:val="0"/>
                <w:i w:val="0"/>
              </w:rPr>
              <w:t>saladillo</w:t>
            </w:r>
          </w:p>
        </w:tc>
      </w:tr>
      <w:tr>
        <w:trPr>
          <w:cantSplit/>
        </w:trPr>
        <w:tc>
          <w:tcPr>
            <w:tcW w:type="dxa" w:w="2948"/>
          </w:tcPr>
          <w:p>
            <w:r>
              <w:rPr>
                <w:b w:val="0"/>
                <w:i w:val="0"/>
                <w:color w:val="55645F"/>
                <w:sz w:val="19"/>
              </w:rPr>
              <w:t>Años de los expedientes</w:t>
            </w:r>
          </w:p>
        </w:tc>
        <w:tc>
          <w:tcPr>
            <w:tcW w:type="dxa" w:w="11395"/>
          </w:tcPr>
          <w:p>
            <w:r>
              <w:rPr>
                <w:b w:val="0"/>
                <w:i w:val="0"/>
              </w:rPr>
              <w:t>2023 a 2026</w:t>
            </w:r>
          </w:p>
        </w:tc>
      </w:tr>
      <w:tr>
        <w:trPr>
          <w:cantSplit/>
        </w:trPr>
        <w:tc>
          <w:tcPr>
            <w:tcW w:type="dxa" w:w="2948"/>
          </w:tcPr>
          <w:p>
            <w:r>
              <w:rPr>
                <w:b w:val="0"/>
                <w:i w:val="0"/>
                <w:color w:val="55645F"/>
                <w:sz w:val="19"/>
              </w:rPr>
              <w:t>Origen</w:t>
            </w:r>
          </w:p>
        </w:tc>
        <w:tc>
          <w:tcPr>
            <w:tcW w:type="dxa" w:w="11395"/>
          </w:tcPr>
          <w:p>
            <w:r>
              <w:rPr>
                <w:b w:val="0"/>
                <w:i w:val="0"/>
              </w:rPr>
              <w:t>Todos</w:t>
            </w:r>
          </w:p>
        </w:tc>
      </w:tr>
      <w:tr>
        <w:trPr>
          <w:cantSplit/>
        </w:trPr>
        <w:tc>
          <w:tcPr>
            <w:tcW w:type="dxa" w:w="2948"/>
          </w:tcPr>
          <w:p>
            <w:r>
              <w:rPr>
                <w:b w:val="0"/>
                <w:i w:val="0"/>
                <w:color w:val="55645F"/>
                <w:sz w:val="19"/>
              </w:rPr>
              <w:t>Tipos</w:t>
            </w:r>
          </w:p>
        </w:tc>
        <w:tc>
          <w:tcPr>
            <w:tcW w:type="dxa" w:w="11395"/>
          </w:tcPr>
          <w:p>
            <w:r>
              <w:rPr>
                <w:b w:val="0"/>
                <w:i w:val="0"/>
              </w:rPr>
              <w:t>Proyecto de comunicación, proyecto de ley, proyecto de resolución</w:t>
            </w:r>
          </w:p>
        </w:tc>
      </w:tr>
    </w:tbl>
    <w:p>
      <w:pPr>
        <w:pStyle w:val="Heading1"/>
      </w:pPr>
      <w:r>
        <w:t>Expedientes</w:t>
      </w:r>
    </w:p>
    <w:tbl>
      <w:tblPr>
        <w:tblW w:type="auto" w:w="0"/>
        <w:jc w:val="left"/>
        <w:tblBorders>
          <w:top w:val="single" w:sz="4" w:space="0" w:color="CBD5D1"/>
          <w:left w:val="nil"/>
          <w:bottom w:val="single" w:sz="4" w:space="0" w:color="CBD5D1"/>
          <w:right w:val="nil"/>
          <w:insideH w:val="single" w:sz="4" w:space="0" w:color="CBD5D1"/>
          <w:insideV w:val="nil"/>
        </w:tblBorders>
        <w:tblLayout w:type="fixed"/>
        <w:tblCellMar>
          <w:top w:w="60" w:type="dxa"/>
          <w:left w:w="100" w:type="dxa"/>
          <w:bottom w:w="60" w:type="dxa"/>
          <w:right w:w="100" w:type="dxa"/>
        </w:tblCellMar>
        <w:tblLook w:firstColumn="1" w:firstRow="1" w:lastColumn="0" w:lastRow="0" w:noHBand="0" w:noVBand="1" w:val="04A0"/>
      </w:tblPr>
      <w:tblGrid>
        <w:gridCol w:w="1644"/>
        <w:gridCol w:w="6180"/>
        <w:gridCol w:w="3118"/>
        <w:gridCol w:w="2211"/>
        <w:gridCol w:w="1191"/>
      </w:tblGrid>
      <w:tr>
        <w:trPr>
          <w:tblHeader w:val="true"/>
        </w:trPr>
        <w:tc>
          <w:tcPr>
            <w:tcW w:type="dxa" w:w="1644"/>
            <w:shd w:val="clear" w:color="auto" w:fill="EEF2F0"/>
          </w:tcPr>
          <w:p>
            <w:r>
              <w:rPr>
                <w:b/>
                <w:i w:val="0"/>
                <w:color w:val="55645F"/>
                <w:sz w:val="18"/>
              </w:rPr>
              <w:t>Expediente</w:t>
            </w:r>
          </w:p>
        </w:tc>
        <w:tc>
          <w:tcPr>
            <w:tcW w:type="dxa" w:w="6180"/>
            <w:shd w:val="clear" w:color="auto" w:fill="EEF2F0"/>
          </w:tcPr>
          <w:p>
            <w:r>
              <w:rPr>
                <w:b/>
                <w:i w:val="0"/>
                <w:color w:val="55645F"/>
                <w:sz w:val="18"/>
              </w:rPr>
              <w:t>Extracto</w:t>
            </w:r>
          </w:p>
        </w:tc>
        <w:tc>
          <w:tcPr>
            <w:tcW w:type="dxa" w:w="3118"/>
            <w:shd w:val="clear" w:color="auto" w:fill="EEF2F0"/>
          </w:tcPr>
          <w:p>
            <w:r>
              <w:rPr>
                <w:b/>
                <w:i w:val="0"/>
                <w:color w:val="55645F"/>
                <w:sz w:val="18"/>
              </w:rPr>
              <w:t>Situación</w:t>
            </w:r>
          </w:p>
        </w:tc>
        <w:tc>
          <w:tcPr>
            <w:tcW w:type="dxa" w:w="2211"/>
            <w:shd w:val="clear" w:color="auto" w:fill="EEF2F0"/>
          </w:tcPr>
          <w:p>
            <w:r>
              <w:rPr>
                <w:b/>
                <w:i w:val="0"/>
                <w:color w:val="55645F"/>
                <w:sz w:val="18"/>
              </w:rPr>
              <w:t>Comisión</w:t>
            </w:r>
          </w:p>
        </w:tc>
        <w:tc>
          <w:tcPr>
            <w:tcW w:type="dxa" w:w="1191"/>
            <w:shd w:val="clear" w:color="auto" w:fill="EEF2F0"/>
          </w:tcPr>
          <w:p>
            <w:r>
              <w:rPr>
                <w:b/>
                <w:i w:val="0"/>
                <w:color w:val="55645F"/>
                <w:sz w:val="18"/>
              </w:rPr>
              <w:t>Ingreso</w:t>
            </w:r>
          </w:p>
        </w:tc>
      </w:tr>
      <w:tr>
        <w:trPr>
          <w:cantSplit/>
        </w:trPr>
        <w:tc>
          <w:tcPr>
            <w:tcW w:type="dxa" w:w="14344"/>
            <w:gridSpan w:val="5"/>
            <w:shd w:val="clear" w:color="auto" w:fill="E4EFEB"/>
          </w:tcPr>
          <w:p>
            <w:r>
              <w:rPr>
                <w:b/>
                <w:i w:val="0"/>
                <w:color w:val="1F4E45"/>
                <w:sz w:val="19"/>
              </w:rPr>
              <w:t>Vetado (1)</w:t>
            </w:r>
          </w:p>
        </w:tc>
      </w:tr>
      <w:tr>
        <w:trPr>
          <w:cantSplit/>
        </w:trPr>
        <w:tc>
          <w:tcPr>
            <w:tcW w:type="dxa" w:w="1644"/>
          </w:tcPr>
          <w:p>
            <w:hyperlink r:id="rId12" w:history="1">
              <w:r>
                <w:rPr>
                  <w:b/>
                  <w:color w:val="1F4E45"/>
                  <w:sz w:val="19"/>
                  <w:u w:val="single"/>
                </w:rPr>
                <w:t xml:space="preserve">CD-14/24</w:t>
              </w:r>
            </w:hyperlink>
          </w:p>
          <w:p>
            <w:r>
              <w:rPr>
                <w:b w:val="0"/>
                <w:i w:val="0"/>
                <w:color w:val="55645F"/>
                <w:sz w:val="16"/>
              </w:rPr>
              <w:t>PL, CD</w:t>
            </w:r>
          </w:p>
        </w:tc>
        <w:tc>
          <w:tcPr>
            <w:tcW w:type="dxa" w:w="6180"/>
          </w:tcPr>
          <w:p>
            <w:r>
              <w:rPr>
                <w:b w:val="0"/>
                <w:i w:val="0"/>
                <w:sz w:val="17"/>
              </w:rPr>
              <w:t xml:space="preserve">PROYECTO DE LEY EN REVISION DE </w:t>
            </w:r>
            <w:r>
              <w:rPr>
                <w:b/>
                <w:i w:val="0"/>
                <w:sz w:val="17"/>
              </w:rPr>
              <w:t>FINANCIAMIENTO</w:t>
            </w:r>
            <w:r>
              <w:rPr>
                <w:b w:val="0"/>
                <w:i w:val="0"/>
                <w:sz w:val="17"/>
              </w:rPr>
              <w:t xml:space="preserve"> DE </w:t>
            </w:r>
            <w:r>
              <w:rPr>
                <w:b/>
                <w:i w:val="0"/>
                <w:sz w:val="17"/>
              </w:rPr>
              <w:t>UNIVERSIDADES</w:t>
            </w:r>
            <w:r>
              <w:rPr>
                <w:b w:val="0"/>
                <w:i w:val="0"/>
                <w:sz w:val="17"/>
              </w:rPr>
              <w:t xml:space="preserve"> NACIONALES.</w:t>
            </w:r>
          </w:p>
        </w:tc>
        <w:tc>
          <w:tcPr>
            <w:tcW w:type="dxa" w:w="3118"/>
          </w:tcPr>
          <w:p>
            <w:r>
              <w:rPr>
                <w:b w:val="0"/>
                <w:i w:val="0"/>
                <w:sz w:val="18"/>
              </w:rPr>
              <w:t>Sancionado: Ley N° 27.757 (vetada: veto total)</w:t>
            </w:r>
          </w:p>
        </w:tc>
        <w:tc>
          <w:tcPr>
            <w:tcW w:type="dxa" w:w="2211"/>
          </w:tcPr>
          <w:p>
            <w:r>
              <w:rPr>
                <w:b w:val="0"/>
                <w:i w:val="0"/>
                <w:sz w:val="17"/>
              </w:rPr>
              <w:t>Educación y Cultura, Presupuesto y Hacienda</w:t>
            </w:r>
          </w:p>
        </w:tc>
        <w:tc>
          <w:tcPr>
            <w:tcW w:type="dxa" w:w="1191"/>
          </w:tcPr>
          <w:p>
            <w:r>
              <w:rPr>
                <w:b w:val="0"/>
                <w:i w:val="0"/>
                <w:sz w:val="17"/>
              </w:rPr>
              <w:t>19/08/2024</w:t>
            </w:r>
          </w:p>
        </w:tc>
      </w:tr>
      <w:tr>
        <w:trPr>
          <w:cantSplit/>
        </w:trPr>
        <w:tc>
          <w:tcPr>
            <w:tcW w:type="dxa" w:w="14344"/>
            <w:gridSpan w:val="5"/>
            <w:shd w:val="clear" w:color="auto" w:fill="E4EFEB"/>
          </w:tcPr>
          <w:p>
            <w:r>
              <w:rPr>
                <w:b/>
                <w:i w:val="0"/>
                <w:color w:val="1F4E45"/>
                <w:sz w:val="19"/>
              </w:rPr>
              <w:t>Caducado (1)</w:t>
            </w:r>
          </w:p>
        </w:tc>
      </w:tr>
      <w:tr>
        <w:trPr>
          <w:cantSplit/>
        </w:trPr>
        <w:tc>
          <w:tcPr>
            <w:tcW w:type="dxa" w:w="1644"/>
          </w:tcPr>
          <w:p>
            <w:hyperlink r:id="rId13" w:history="1">
              <w:r>
                <w:rPr>
                  <w:b/>
                  <w:color w:val="1F4E45"/>
                  <w:sz w:val="19"/>
                  <w:u w:val="single"/>
                </w:rPr>
                <w:t xml:space="preserve">CD-35/23</w:t>
              </w:r>
            </w:hyperlink>
          </w:p>
          <w:p>
            <w:r>
              <w:rPr>
                <w:b w:val="0"/>
                <w:i w:val="0"/>
                <w:color w:val="55645F"/>
                <w:sz w:val="16"/>
              </w:rPr>
              <w:t>PL, CD</w:t>
            </w:r>
          </w:p>
        </w:tc>
        <w:tc>
          <w:tcPr>
            <w:tcW w:type="dxa" w:w="6180"/>
          </w:tcPr>
          <w:p>
            <w:r>
              <w:rPr>
                <w:b w:val="0"/>
                <w:i w:val="0"/>
                <w:sz w:val="17"/>
              </w:rPr>
              <w:t xml:space="preserve">PROYECTO DE LEY EN REVISION QUE CREA LA </w:t>
            </w:r>
            <w:r>
              <w:rPr>
                <w:b/>
                <w:i w:val="0"/>
                <w:sz w:val="17"/>
              </w:rPr>
              <w:t>UNIVERSIDAD</w:t>
            </w:r>
            <w:r>
              <w:rPr>
                <w:b w:val="0"/>
                <w:i w:val="0"/>
                <w:sz w:val="17"/>
              </w:rPr>
              <w:t xml:space="preserve"> NACIONAL DE LA CUENCA DEL SALADO, CON SEDE CENTRAL EN EL DISTRITO DE CAÑUELAS, PROV. DE BS. AS.</w:t>
            </w:r>
          </w:p>
        </w:tc>
        <w:tc>
          <w:tcPr>
            <w:tcW w:type="dxa" w:w="3118"/>
          </w:tcPr>
          <w:p>
            <w:r>
              <w:rPr>
                <w:b w:val="0"/>
                <w:i w:val="0"/>
                <w:sz w:val="18"/>
              </w:rPr>
              <w:t>Caducó el 28/02/2026</w:t>
            </w:r>
          </w:p>
          <w:p>
            <w:r>
              <w:rPr>
                <w:b w:val="0"/>
                <w:i w:val="0"/>
                <w:color w:val="55645F"/>
                <w:sz w:val="16"/>
              </w:rPr>
              <w:t>Caducidad registrada: 28/02/2026</w:t>
            </w:r>
          </w:p>
        </w:tc>
        <w:tc>
          <w:tcPr>
            <w:tcW w:type="dxa" w:w="2211"/>
          </w:tcPr>
          <w:p>
            <w:r>
              <w:rPr>
                <w:b w:val="0"/>
                <w:i w:val="0"/>
                <w:sz w:val="17"/>
              </w:rPr>
              <w:t>Educación y Cultura, Presupuesto y Hacienda</w:t>
            </w:r>
          </w:p>
        </w:tc>
        <w:tc>
          <w:tcPr>
            <w:tcW w:type="dxa" w:w="1191"/>
          </w:tcPr>
          <w:p>
            <w:r>
              <w:rPr>
                <w:b w:val="0"/>
                <w:i w:val="0"/>
                <w:sz w:val="17"/>
              </w:rPr>
              <w:t>12/10/2023</w:t>
            </w:r>
          </w:p>
        </w:tc>
      </w:tr>
      <w:tr>
        <w:trPr>
          <w:cantSplit/>
        </w:trPr>
        <w:tc>
          <w:tcPr>
            <w:tcW w:type="dxa" w:w="14344"/>
            <w:gridSpan w:val="5"/>
            <w:shd w:val="clear" w:color="auto" w:fill="E4EFEB"/>
          </w:tcPr>
          <w:p>
            <w:r>
              <w:rPr>
                <w:b/>
                <w:i w:val="0"/>
                <w:color w:val="1F4E45"/>
                <w:sz w:val="19"/>
              </w:rPr>
              <w:t>Ficha no disponible (1)</w:t>
            </w:r>
          </w:p>
        </w:tc>
      </w:tr>
      <w:tr>
        <w:trPr>
          <w:cantSplit/>
        </w:trPr>
        <w:tc>
          <w:tcPr>
            <w:tcW w:type="dxa" w:w="1644"/>
          </w:tcPr>
          <w:p>
            <w:hyperlink r:id="rId14" w:history="1">
              <w:r>
                <w:rPr>
                  <w:b/>
                  <w:color w:val="1F4E45"/>
                  <w:sz w:val="19"/>
                  <w:u w:val="single"/>
                </w:rPr>
                <w:t xml:space="preserve">S-342/26</w:t>
              </w:r>
            </w:hyperlink>
          </w:p>
          <w:p>
            <w:r>
              <w:rPr>
                <w:b w:val="0"/>
                <w:i w:val="0"/>
                <w:color w:val="55645F"/>
                <w:sz w:val="16"/>
              </w:rPr>
              <w:t>PL, S</w:t>
            </w:r>
          </w:p>
        </w:tc>
        <w:tc>
          <w:tcPr>
            <w:tcW w:type="dxa" w:w="6180"/>
          </w:tcPr>
          <w:p>
            <w:r>
              <w:rPr>
                <w:b w:val="0"/>
                <w:i w:val="0"/>
                <w:sz w:val="17"/>
              </w:rPr>
              <w:t xml:space="preserve">ZAMORA Y OTROS: PROYECTO DE LEY QUE TRANSFIERE A TÍTULO GRATUITO A FAVOR DE LA </w:t>
            </w:r>
            <w:r>
              <w:rPr>
                <w:b/>
                <w:i w:val="0"/>
                <w:sz w:val="17"/>
              </w:rPr>
              <w:t>UNIVERSIDAD</w:t>
            </w:r>
            <w:r>
              <w:rPr>
                <w:b w:val="0"/>
                <w:i w:val="0"/>
                <w:sz w:val="17"/>
              </w:rPr>
              <w:t xml:space="preserve"> NACIONAL DE SANTIAGO DEL ESTERO UN INMUEBLE PROPIEDAD DEL ESTADO NACIONAL UBICADO EN LA AV. BELGRANO (S) N° 2180 DE LA CIUDAD CAPITAL DE LA PROVINCIA DE SANTIAGO DEL ESTERO.</w:t>
            </w:r>
          </w:p>
        </w:tc>
        <w:tc>
          <w:tcPr>
            <w:tcW w:type="dxa" w:w="3118"/>
          </w:tcPr>
          <w:p>
            <w:r>
              <w:rPr>
                <w:b w:val="0"/>
                <w:i w:val="0"/>
                <w:sz w:val="18"/>
              </w:rPr>
              <w:t>Ficha no disponible</w:t>
            </w:r>
          </w:p>
          <w:p>
            <w:r>
              <w:rPr>
                <w:b w:val="0"/>
                <w:i w:val="0"/>
                <w:color w:val="55645F"/>
                <w:sz w:val="16"/>
              </w:rPr>
              <w:t>No se pudo leer la ficha: El sitio respondió con el código 404 para https://www.senado.gob.ar/parlamentario/comisiones/verExp/342.26/S/PL.</w:t>
            </w:r>
          </w:p>
        </w:tc>
        <w:tc>
          <w:tcPr>
            <w:tcW w:type="dxa" w:w="2211"/>
          </w:tcPr>
          <w:p>
            <w:r>
              <w:rPr>
                <w:b w:val="0"/>
                <w:i w:val="0"/>
                <w:sz w:val="17"/>
              </w:rPr>
              <w:t>—</w:t>
            </w:r>
          </w:p>
        </w:tc>
        <w:tc>
          <w:tcPr>
            <w:tcW w:type="dxa" w:w="1191"/>
          </w:tcPr>
          <w:p>
            <w:r>
              <w:rPr>
                <w:b w:val="0"/>
                <w:i w:val="0"/>
                <w:sz w:val="17"/>
              </w:rPr>
              <w:t>—</w:t>
            </w:r>
          </w:p>
        </w:tc>
      </w:tr>
    </w:tbl>
    <w:p>
      <w:pPr>
        <w:spacing w:before="360"/>
      </w:pPr>
      <w:r>
        <w:rPr>
          <w:b w:val="0"/>
          <w:i w:val="0"/>
          <w:color w:val="55645F"/>
          <w:sz w:val="17"/>
        </w:rPr>
        <w:t>La búsqueda usa el buscador avanzado del Senado (por extracto) y un filtro propio que no distingue tildes ni mayúsculas; cada palabra se busca como comienzo de palabra. La etapa de cada expediente se deduce de su ficha pública. Verificá los datos en la fuente antes de usarlos en un trámite oficial. Programa Informe de Expedientes, versión 1.0.0.</w:t>
      </w:r>
    </w:p>
    <w:p>
      <w:pPr>
        <w:spacing w:before="80"/>
      </w:pPr>
      <w:r>
        <w:rPr>
          <w:b w:val="0"/>
          <w:i w:val="0"/>
          <w:color w:val="55645F"/>
          <w:sz w:val="17"/>
        </w:rPr>
        <w:t>Durante la consulta hubo avisos:</w:t>
      </w:r>
    </w:p>
    <w:p>
      <w:pPr>
        <w:pStyle w:val="ListBullet"/>
      </w:pPr>
      <w:r>
        <w:rPr>
          <w:b w:val="0"/>
          <w:i w:val="0"/>
          <w:color w:val="55645F"/>
          <w:sz w:val="17"/>
        </w:rPr>
        <w:t>No se pudo leer la ficha de 1 expediente(s): S-342/26</w:t>
      </w:r>
    </w:p>
    <w:sectPr w:rsidR="00FC693F" w:rsidRPr="0006063C" w:rsidSect="00034616">
      <w:headerReference w:type="default" r:id="rId9"/>
      <w:footerReference w:type="default" r:id="rId10"/>
      <w:footerReference w:type="first" r:id="rId11"/>
      <w:pgSz w:w="16838" w:h="11906" w:orient="landscape"/>
      <w:pgMar w:top="1134" w:right="1247" w:bottom="1134" w:left="124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4343" w:val="right"/>
      </w:tabs>
    </w:pPr>
    <w:r>
      <w:rPr>
        <w:color w:val="55645F"/>
        <w:sz w:val="16"/>
      </w:rPr>
      <w:t>Generado el 29/10/2026 18:31 h con datos públicos de senado.gob.ar</w:t>
    </w:r>
    <w:r>
      <w:rPr>
        <w:color w:val="55645F"/>
        <w:sz w:val="16"/>
      </w:rPr>
      <w:tab/>
      <w:t xml:space="preserve">Página </w:t>
    </w:r>
    <w:r>
      <w:rPr>
        <w:color w:val="55645F"/>
        <w:sz w:val="16"/>
      </w:rPr>
      <w:fldChar w:fldCharType="begin"/>
    </w:r>
    <w:r>
      <w:rPr>
        <w:color w:val="55645F"/>
        <w:sz w:val="16"/>
      </w:rPr>
      <w:instrText xml:space="preserve"> PAGE </w:instrText>
    </w:r>
    <w:r>
      <w:rPr>
        <w:color w:val="55645F"/>
        <w:sz w:val="16"/>
      </w:rPr>
      <w:fldChar w:fldCharType="separate"/>
    </w:r>
    <w:r>
      <w:rPr>
        <w:color w:val="55645F"/>
        <w:sz w:val="16"/>
      </w:rPr>
      <w:t>1</w:t>
    </w:r>
    <w:r>
      <w:rPr>
        <w:color w:val="55645F"/>
        <w:sz w:val="16"/>
      </w:rPr>
      <w:fldChar w:fldCharType="end"/>
    </w:r>
    <w:r>
      <w:rPr>
        <w:color w:val="55645F"/>
        <w:sz w:val="16"/>
      </w:rPr>
      <w:t xml:space="preserve"> de </w:t>
    </w:r>
    <w:r>
      <w:rPr>
        <w:color w:val="55645F"/>
        <w:sz w:val="16"/>
      </w:rPr>
      <w:fldChar w:fldCharType="begin"/>
    </w:r>
    <w:r>
      <w:rPr>
        <w:color w:val="55645F"/>
        <w:sz w:val="16"/>
      </w:rPr>
      <w:instrText xml:space="preserve"> NUMPAGES </w:instrText>
    </w:r>
    <w:r>
      <w:rPr>
        <w:color w:val="55645F"/>
        <w:sz w:val="16"/>
      </w:rPr>
      <w:fldChar w:fldCharType="separate"/>
    </w:r>
    <w:r>
      <w:rPr>
        <w:color w:val="55645F"/>
        <w:sz w:val="16"/>
      </w:rPr>
      <w:t>1</w:t>
    </w:r>
    <w:r>
      <w:rPr>
        <w:color w:val="55645F"/>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4343" w:val="right"/>
      </w:tabs>
    </w:pPr>
    <w:r>
      <w:rPr>
        <w:color w:val="55645F"/>
        <w:sz w:val="16"/>
      </w:rPr>
      <w:t>Generado el 29/10/2026 18:31 h con datos públicos de senado.gob.ar</w:t>
    </w:r>
    <w:r>
      <w:rPr>
        <w:color w:val="55645F"/>
        <w:sz w:val="16"/>
      </w:rPr>
      <w:tab/>
      <w:t xml:space="preserve">Página </w:t>
    </w:r>
    <w:r>
      <w:rPr>
        <w:color w:val="55645F"/>
        <w:sz w:val="16"/>
      </w:rPr>
      <w:fldChar w:fldCharType="begin"/>
    </w:r>
    <w:r>
      <w:rPr>
        <w:color w:val="55645F"/>
        <w:sz w:val="16"/>
      </w:rPr>
      <w:instrText xml:space="preserve"> PAGE </w:instrText>
    </w:r>
    <w:r>
      <w:rPr>
        <w:color w:val="55645F"/>
        <w:sz w:val="16"/>
      </w:rPr>
      <w:fldChar w:fldCharType="separate"/>
    </w:r>
    <w:r>
      <w:rPr>
        <w:color w:val="55645F"/>
        <w:sz w:val="16"/>
      </w:rPr>
      <w:t>1</w:t>
    </w:r>
    <w:r>
      <w:rPr>
        <w:color w:val="55645F"/>
        <w:sz w:val="16"/>
      </w:rPr>
      <w:fldChar w:fldCharType="end"/>
    </w:r>
    <w:r>
      <w:rPr>
        <w:color w:val="55645F"/>
        <w:sz w:val="16"/>
      </w:rPr>
      <w:t xml:space="preserve"> de </w:t>
    </w:r>
    <w:r>
      <w:rPr>
        <w:color w:val="55645F"/>
        <w:sz w:val="16"/>
      </w:rPr>
      <w:fldChar w:fldCharType="begin"/>
    </w:r>
    <w:r>
      <w:rPr>
        <w:color w:val="55645F"/>
        <w:sz w:val="16"/>
      </w:rPr>
      <w:instrText xml:space="preserve"> NUMPAGES </w:instrText>
    </w:r>
    <w:r>
      <w:rPr>
        <w:color w:val="55645F"/>
        <w:sz w:val="16"/>
      </w:rPr>
      <w:fldChar w:fldCharType="separate"/>
    </w:r>
    <w:r>
      <w:rPr>
        <w:color w:val="55645F"/>
        <w:sz w:val="16"/>
      </w:rPr>
      <w:t>1</w:t>
    </w:r>
    <w:r>
      <w:rPr>
        <w:color w:val="55645F"/>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5645F"/>
        <w:sz w:val="16"/>
      </w:rPr>
      <w:t>H. Senado de la Nación — Informe temático: universidad, financiamiento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Segoe UI" w:hAnsi="Segoe UI" w:cs="Segoe UI" w:eastAsia="Segoe UI"/>
      <w:color w:val="1F2B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Georgia" w:hAnsi="Georgia" w:cs="Georgia" w:eastAsia="Georgia"/>
      <w:b w:val="0"/>
      <w:bCs/>
      <w:color w:val="1F4E45"/>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Georgia" w:hAnsi="Georgia" w:cs="Georgia" w:eastAsia="Georgia"/>
      <w:b w:val="0"/>
      <w:bCs/>
      <w:color w:val="1F4E4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Segoe UI" w:hAnsi="Segoe UI" w:cs="Segoe UI" w:eastAsia="Segoe UI"/>
      <w:color w:val="1F2B28"/>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www.senado.gob.ar/parlamentario/comisiones/verExp/14.24/CD/PL" TargetMode="External"/><Relationship Id="rId13" Type="http://schemas.openxmlformats.org/officeDocument/2006/relationships/hyperlink" Target="https://www.senado.gob.ar/parlamentario/comisiones/verExp/35.23/CD/PL" TargetMode="External"/><Relationship Id="rId14" Type="http://schemas.openxmlformats.org/officeDocument/2006/relationships/hyperlink" Target="https://www.senado.gob.ar/parlamentario/comisiones/verExp/342.26/S/P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temático: universidad, financiamiento</dc:title>
  <dc:subject/>
  <dc:creator>Informe de Expedientes</dc:creator>
  <cp:keywords/>
  <dc:description>generated by python-docx</dc:description>
  <cp:lastModifiedBy/>
  <cp:revision>1</cp:revision>
  <dcterms:created xsi:type="dcterms:W3CDTF">2013-12-23T23:15:00Z</dcterms:created>
  <dcterms:modified xsi:type="dcterms:W3CDTF">2013-12-23T23:15:00Z</dcterms:modified>
  <cp:category/>
</cp:coreProperties>
</file>