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1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B539AD" w14:paraId="5DE4D7D3" w14:textId="77777777" w:rsidTr="00373562">
        <w:trPr>
          <w:trHeight w:val="10"/>
          <w:tblCellSpacing w:w="0" w:type="dxa"/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455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8752"/>
              <w:gridCol w:w="50"/>
            </w:tblGrid>
            <w:tr w:rsidR="00B539AD" w14:paraId="23A29A05" w14:textId="77777777" w:rsidTr="00B539AD">
              <w:trPr>
                <w:trHeight w:val="10"/>
                <w:tblCellSpacing w:w="0" w:type="dxa"/>
              </w:trPr>
              <w:tc>
                <w:tcPr>
                  <w:tcW w:w="23" w:type="dxa"/>
                  <w:hideMark/>
                </w:tcPr>
                <w:p w14:paraId="204DB5D3" w14:textId="77777777" w:rsidR="00B539AD" w:rsidRDefault="00B539AD">
                  <w:r>
                    <w:t> </w:t>
                  </w:r>
                </w:p>
              </w:tc>
              <w:tc>
                <w:tcPr>
                  <w:tcW w:w="4510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tbl>
                  <w:tblPr>
                    <w:tblW w:w="4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2"/>
                  </w:tblGrid>
                  <w:tr w:rsidR="00B539AD" w14:paraId="6D6BBB4D" w14:textId="77777777" w:rsidTr="00B539AD">
                    <w:trPr>
                      <w:trHeight w:val="1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8466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3"/>
                          <w:gridCol w:w="4233"/>
                        </w:tblGrid>
                        <w:tr w:rsidR="00B539AD" w14:paraId="749A8720" w14:textId="77777777">
                          <w:trPr>
                            <w:trHeight w:val="146"/>
                            <w:tblCellSpacing w:w="0" w:type="dxa"/>
                          </w:trPr>
                          <w:tc>
                            <w:tcPr>
                              <w:tcW w:w="4233" w:type="dxa"/>
                              <w:vAlign w:val="center"/>
                              <w:hideMark/>
                            </w:tcPr>
                            <w:p w14:paraId="60452FAD" w14:textId="0B48CAF6" w:rsidR="00B539AD" w:rsidRDefault="00B539AD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C07A1F1" wp14:editId="1CB5F370">
                                    <wp:extent cx="1054100" cy="222250"/>
                                    <wp:effectExtent l="0" t="0" r="0" b="6350"/>
                                    <wp:docPr id="2" name="Picture 2" descr="Microsoft Heade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Microsoft Heade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4100" cy="222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233" w:type="dxa"/>
                              <w:hideMark/>
                            </w:tcPr>
                            <w:p w14:paraId="5942D963" w14:textId="77777777" w:rsidR="00B539AD" w:rsidRDefault="00B539AD">
                              <w:pPr>
                                <w:jc w:val="right"/>
                                <w:rPr>
                                  <w:rFonts w:ascii="Segoe UI" w:hAnsi="Segoe UI" w:cs="Segoe UI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tbl>
                        <w:tblPr>
                          <w:tblpPr w:leftFromText="180" w:rightFromText="180" w:vertAnchor="page" w:horzAnchor="margin" w:tblpY="1"/>
                          <w:tblOverlap w:val="never"/>
                          <w:tblW w:w="8752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52"/>
                        </w:tblGrid>
                        <w:tr w:rsidR="00B539AD" w14:paraId="506CB340" w14:textId="77777777" w:rsidTr="00A858F8">
                          <w:trPr>
                            <w:trHeight w:val="229"/>
                            <w:tblCellSpacing w:w="0" w:type="dxa"/>
                          </w:trPr>
                          <w:tc>
                            <w:tcPr>
                              <w:tcW w:w="8752" w:type="dxa"/>
                              <w:shd w:val="clear" w:color="auto" w:fill="00B0F0"/>
                              <w:hideMark/>
                            </w:tcPr>
                            <w:p w14:paraId="54B88BA3" w14:textId="4114611B" w:rsidR="00760D4A" w:rsidRDefault="00BC575B" w:rsidP="00B539AD">
                              <w:pPr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  <w:t>Azure Arc</w:t>
                              </w:r>
                            </w:p>
                            <w:p w14:paraId="6F5CA682" w14:textId="7D4025E2" w:rsidR="00B539AD" w:rsidRDefault="00B539AD" w:rsidP="00B539AD">
                              <w:pPr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Partner </w:t>
                              </w:r>
                              <w:r w:rsidR="00BC575B"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  <w:t>Technical</w:t>
                              </w:r>
                              <w:r w:rsidR="00C2279B"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hAnsi="Segoe UI" w:cs="Segoe U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Workshop </w:t>
                              </w:r>
                            </w:p>
                          </w:tc>
                        </w:tr>
                        <w:tr w:rsidR="00B539AD" w14:paraId="399F5A7A" w14:textId="77777777" w:rsidTr="00A858F8">
                          <w:trPr>
                            <w:trHeight w:val="399"/>
                            <w:tblCellSpacing w:w="0" w:type="dxa"/>
                          </w:trPr>
                          <w:tc>
                            <w:tcPr>
                              <w:tcW w:w="8752" w:type="dxa"/>
                              <w:shd w:val="clear" w:color="auto" w:fill="00B0F0"/>
                              <w:hideMark/>
                            </w:tcPr>
                            <w:p w14:paraId="752578FC" w14:textId="77777777" w:rsidR="00B539AD" w:rsidRDefault="00B539AD" w:rsidP="00B539AD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t> </w:t>
                              </w:r>
                            </w:p>
                          </w:tc>
                        </w:tr>
                      </w:tbl>
                      <w:p w14:paraId="673EC07F" w14:textId="77777777" w:rsidR="00B539AD" w:rsidRDefault="00B539A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8FD59C7" w14:textId="77777777" w:rsidR="00B539AD" w:rsidRDefault="00B539A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" w:type="dxa"/>
                  <w:hideMark/>
                </w:tcPr>
                <w:p w14:paraId="0A6A1B36" w14:textId="77777777" w:rsidR="00B539AD" w:rsidRDefault="00B539AD">
                  <w:pPr>
                    <w:rPr>
                      <w:rFonts w:ascii="Calibri" w:hAnsi="Calibri" w:cs="Calibri"/>
                    </w:rPr>
                  </w:pPr>
                  <w:r>
                    <w:t> </w:t>
                  </w:r>
                </w:p>
              </w:tc>
            </w:tr>
          </w:tbl>
          <w:p w14:paraId="2FFB7C85" w14:textId="77777777" w:rsidR="00B539AD" w:rsidRDefault="00B539AD">
            <w:pPr>
              <w:rPr>
                <w:sz w:val="20"/>
                <w:szCs w:val="20"/>
              </w:rPr>
            </w:pPr>
          </w:p>
        </w:tc>
      </w:tr>
      <w:tr w:rsidR="00B539AD" w14:paraId="001D4B80" w14:textId="77777777" w:rsidTr="00373562">
        <w:trPr>
          <w:trHeight w:val="234"/>
          <w:tblCellSpacing w:w="0" w:type="dxa"/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BB8D0F" w14:textId="5462A853" w:rsidR="00A858F8" w:rsidRDefault="00C139D2" w:rsidP="00A858F8">
            <w:p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Customer environments are evolving, becoming increasingly complex with many applications often running on different hardware across on-premises datacenters, multiple clouds, and the edge. Managing these disparate environments at scale, ensuring uncompromised security across an entire organization, and enabling developer agility and innovation are critical to success.</w:t>
            </w:r>
            <w:r w:rsidR="007F6305"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</w:t>
            </w:r>
          </w:p>
          <w:p w14:paraId="232CAD9B" w14:textId="77777777" w:rsidR="00C139D2" w:rsidRPr="00C139D2" w:rsidRDefault="00C139D2" w:rsidP="00A858F8">
            <w:p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</w:p>
          <w:p w14:paraId="110DC858" w14:textId="076EC3C9" w:rsidR="00FE5E4E" w:rsidRPr="00FE5E4E" w:rsidRDefault="00FE5E4E" w:rsidP="00FE5E4E">
            <w:p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FE5E4E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In this 2-day workshop, </w:t>
            </w:r>
            <w:r w:rsidR="0079172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we will deep dive into</w:t>
            </w:r>
            <w:r w:rsidR="00562403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Microsoft hybrid cloud solution </w:t>
            </w:r>
            <w:r w:rsidR="0079172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and </w:t>
            </w:r>
            <w:r w:rsid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learn</w:t>
            </w:r>
            <w:r w:rsidR="0079172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</w:t>
            </w:r>
            <w:r w:rsid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how </w:t>
            </w:r>
            <w:r w:rsidR="0079172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they can help customers </w:t>
            </w:r>
            <w:r w:rsid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overcome</w:t>
            </w:r>
            <w:r w:rsidR="007F4BCA" w:rsidRP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th</w:t>
            </w:r>
            <w:r w:rsid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e above</w:t>
            </w:r>
            <w:r w:rsidR="007F4BCA" w:rsidRP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challenges, </w:t>
            </w:r>
            <w:r w:rsid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providing the </w:t>
            </w:r>
            <w:r w:rsidR="007F4BCA" w:rsidRP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flexibility to innovate anywhere in 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the</w:t>
            </w:r>
            <w:r w:rsidR="007F4BCA" w:rsidRPr="007F4BCA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hybrid environment while operating seamlessly and securely.</w:t>
            </w:r>
          </w:p>
          <w:p w14:paraId="261CA074" w14:textId="77777777" w:rsidR="005A3068" w:rsidRPr="00FE5E4E" w:rsidRDefault="005A3068" w:rsidP="00FE5E4E">
            <w:p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</w:p>
          <w:p w14:paraId="153B345F" w14:textId="77777777" w:rsidR="00FE5E4E" w:rsidRPr="00FE5E4E" w:rsidRDefault="00FE5E4E" w:rsidP="00FE5E4E">
            <w:p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FE5E4E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Target Audience:</w:t>
            </w:r>
          </w:p>
          <w:p w14:paraId="1B54DE68" w14:textId="77777777" w:rsidR="00FE5E4E" w:rsidRPr="00FE5E4E" w:rsidRDefault="00FE5E4E" w:rsidP="00FE5E4E">
            <w:pPr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FE5E4E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Technical Managers</w:t>
            </w:r>
          </w:p>
          <w:p w14:paraId="21E4F09C" w14:textId="77777777" w:rsidR="00FE5E4E" w:rsidRPr="00FE5E4E" w:rsidRDefault="00FE5E4E" w:rsidP="00FE5E4E">
            <w:pPr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FE5E4E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IT Pros</w:t>
            </w:r>
          </w:p>
          <w:p w14:paraId="61551B8A" w14:textId="3DAD2174" w:rsidR="00FE5E4E" w:rsidRDefault="00C2279B" w:rsidP="00FE5E4E">
            <w:pPr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S</w:t>
            </w:r>
            <w:r w:rsidR="007F39BF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olution</w:t>
            </w:r>
            <w:r w:rsidR="00FE5E4E" w:rsidRPr="00FE5E4E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Architects</w:t>
            </w:r>
          </w:p>
          <w:p w14:paraId="3A168414" w14:textId="6F027E12" w:rsidR="000669A0" w:rsidRPr="00FE5E4E" w:rsidRDefault="00C2279B" w:rsidP="00FE5E4E">
            <w:pPr>
              <w:numPr>
                <w:ilvl w:val="0"/>
                <w:numId w:val="2"/>
              </w:numPr>
              <w:jc w:val="bot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M</w:t>
            </w:r>
            <w:r w:rsidR="000669A0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anaged service providers</w:t>
            </w:r>
          </w:p>
          <w:p w14:paraId="4D12AF93" w14:textId="77777777" w:rsidR="00A858F8" w:rsidRPr="00C139D2" w:rsidRDefault="00A858F8" w:rsidP="00A858F8">
            <w:pPr>
              <w:spacing w:before="100" w:beforeAutospacing="1" w:after="100" w:afterAutospacing="1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Workshop Agenda</w:t>
            </w:r>
          </w:p>
          <w:p w14:paraId="6471CFCF" w14:textId="77777777" w:rsidR="000C4CA2" w:rsidRPr="00C139D2" w:rsidRDefault="000C4CA2" w:rsidP="000C4CA2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Day1: </w:t>
            </w:r>
          </w:p>
          <w:p w14:paraId="03380E0B" w14:textId="469FD502" w:rsidR="00494EDE" w:rsidRPr="00C139D2" w:rsidRDefault="00753C87" w:rsidP="000C4CA2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Microsoft hybrid cloud solutions 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– 60 mins </w:t>
            </w:r>
          </w:p>
          <w:p w14:paraId="732A1039" w14:textId="0C3D3559" w:rsidR="00144D3D" w:rsidRDefault="00DE6E55" w:rsidP="000C4CA2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Azure </w:t>
            </w:r>
            <w:r w:rsidR="005551D4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Arc</w:t>
            </w: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deep dive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</w:t>
            </w:r>
            <w:r w:rsidR="00074DF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1 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– </w:t>
            </w:r>
            <w:r w:rsidR="00144D3D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60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mins</w:t>
            </w:r>
          </w:p>
          <w:p w14:paraId="713932EC" w14:textId="133F80F2" w:rsidR="00DE6E55" w:rsidRPr="00C139D2" w:rsidRDefault="00144D3D" w:rsidP="000C4CA2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Hands on Lab</w:t>
            </w:r>
            <w:r w:rsidR="00DE4AC1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</w:t>
            </w:r>
          </w:p>
          <w:p w14:paraId="65265520" w14:textId="0E286A5D" w:rsidR="00DD73DF" w:rsidRPr="00144D3D" w:rsidRDefault="00DD73DF" w:rsidP="00144D3D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Day 2</w:t>
            </w:r>
            <w:r w:rsidR="00F11038"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: </w:t>
            </w:r>
          </w:p>
          <w:p w14:paraId="2BA12FEE" w14:textId="23345872" w:rsidR="00144D3D" w:rsidRDefault="00144D3D" w:rsidP="00144D3D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Azure </w:t>
            </w: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Arc</w:t>
            </w:r>
            <w:r w:rsidRPr="00C139D2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deep dive</w:t>
            </w:r>
            <w:r w:rsidR="00074DF7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 2 </w:t>
            </w: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>– 60 mins</w:t>
            </w:r>
          </w:p>
          <w:p w14:paraId="4C2FABB1" w14:textId="00D93783" w:rsidR="005E5D6B" w:rsidRPr="00144D3D" w:rsidRDefault="005E5D6B" w:rsidP="00144D3D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 w:rsidRPr="00144D3D"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Azure Stack family deep dive – 60 mins </w:t>
            </w:r>
          </w:p>
          <w:p w14:paraId="7918FED5" w14:textId="77777777" w:rsidR="00144D3D" w:rsidRPr="00C139D2" w:rsidRDefault="00144D3D" w:rsidP="00144D3D">
            <w:pPr>
              <w:pStyle w:val="ListParagraph"/>
              <w:numPr>
                <w:ilvl w:val="1"/>
                <w:numId w:val="1"/>
              </w:num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  <w:t xml:space="preserve">Hands on Lab </w:t>
            </w:r>
          </w:p>
          <w:p w14:paraId="488F3249" w14:textId="77777777" w:rsidR="00144D3D" w:rsidRPr="00144D3D" w:rsidRDefault="00144D3D" w:rsidP="00144D3D">
            <w:pPr>
              <w:ind w:left="1080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</w:p>
          <w:p w14:paraId="2F78E681" w14:textId="77777777" w:rsidR="005E5D6B" w:rsidRPr="00C139D2" w:rsidRDefault="005E5D6B" w:rsidP="005E5D6B">
            <w:pPr>
              <w:pStyle w:val="ListParagraph"/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</w:p>
          <w:p w14:paraId="479A28D5" w14:textId="77777777" w:rsidR="00B539AD" w:rsidRPr="00C139D2" w:rsidRDefault="00B539AD">
            <w:pPr>
              <w:rPr>
                <w:rFonts w:ascii="Segoe UI" w:hAnsi="Segoe UI" w:cs="Segoe UI"/>
                <w:color w:val="505050"/>
                <w:sz w:val="21"/>
                <w:szCs w:val="21"/>
                <w:lang w:val="en-US"/>
              </w:rPr>
            </w:pPr>
          </w:p>
        </w:tc>
      </w:tr>
      <w:tr w:rsidR="00B539AD" w14:paraId="744B10A5" w14:textId="77777777" w:rsidTr="00373562">
        <w:trPr>
          <w:trHeight w:val="446"/>
          <w:tblCellSpacing w:w="0" w:type="dxa"/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BD17E8" w14:textId="77777777" w:rsidR="00B539AD" w:rsidRDefault="00B539AD">
            <w:pPr>
              <w:rPr>
                <w:sz w:val="20"/>
                <w:szCs w:val="20"/>
              </w:rPr>
            </w:pPr>
          </w:p>
        </w:tc>
      </w:tr>
    </w:tbl>
    <w:p w14:paraId="7ECA8352" w14:textId="77777777" w:rsidR="00B539AD" w:rsidRDefault="00B539AD" w:rsidP="00B539AD">
      <w:pPr>
        <w:rPr>
          <w:vanish/>
          <w:lang w:val="en-US"/>
        </w:rPr>
      </w:pPr>
    </w:p>
    <w:p w14:paraId="10B42E12" w14:textId="77777777" w:rsidR="007B1125" w:rsidRDefault="007B1125"/>
    <w:sectPr w:rsidR="007B1125" w:rsidSect="00A858F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006B" w14:textId="77777777" w:rsidR="001A6B01" w:rsidRDefault="001A6B01" w:rsidP="00B539AD">
      <w:r>
        <w:separator/>
      </w:r>
    </w:p>
  </w:endnote>
  <w:endnote w:type="continuationSeparator" w:id="0">
    <w:p w14:paraId="37F3C1D4" w14:textId="77777777" w:rsidR="001A6B01" w:rsidRDefault="001A6B01" w:rsidP="00B5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2164" w14:textId="77777777" w:rsidR="001A6B01" w:rsidRDefault="001A6B01" w:rsidP="00B539AD">
      <w:r>
        <w:separator/>
      </w:r>
    </w:p>
  </w:footnote>
  <w:footnote w:type="continuationSeparator" w:id="0">
    <w:p w14:paraId="527FE204" w14:textId="77777777" w:rsidR="001A6B01" w:rsidRDefault="001A6B01" w:rsidP="00B53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8C3"/>
    <w:multiLevelType w:val="hybridMultilevel"/>
    <w:tmpl w:val="6162413C"/>
    <w:lvl w:ilvl="0" w:tplc="0688FC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D2827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00A5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8A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620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4AA4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F2F6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EC7A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7C2F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3096B2A"/>
    <w:multiLevelType w:val="hybridMultilevel"/>
    <w:tmpl w:val="DCF2E438"/>
    <w:lvl w:ilvl="0" w:tplc="CD387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2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60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C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EB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88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2A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1E26E7"/>
    <w:multiLevelType w:val="multilevel"/>
    <w:tmpl w:val="5C2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AD"/>
    <w:rsid w:val="000500A7"/>
    <w:rsid w:val="000669A0"/>
    <w:rsid w:val="00074DF7"/>
    <w:rsid w:val="000C4CA2"/>
    <w:rsid w:val="00144D3D"/>
    <w:rsid w:val="001A6B01"/>
    <w:rsid w:val="0029448C"/>
    <w:rsid w:val="003475E3"/>
    <w:rsid w:val="00373562"/>
    <w:rsid w:val="00494EDE"/>
    <w:rsid w:val="005551D4"/>
    <w:rsid w:val="00562403"/>
    <w:rsid w:val="005A3068"/>
    <w:rsid w:val="005E5D6B"/>
    <w:rsid w:val="006944E1"/>
    <w:rsid w:val="00753C87"/>
    <w:rsid w:val="00760D4A"/>
    <w:rsid w:val="00791727"/>
    <w:rsid w:val="007B1125"/>
    <w:rsid w:val="007B4C95"/>
    <w:rsid w:val="007E03D4"/>
    <w:rsid w:val="007F39BF"/>
    <w:rsid w:val="007F4BCA"/>
    <w:rsid w:val="007F6305"/>
    <w:rsid w:val="008761C7"/>
    <w:rsid w:val="00993ADB"/>
    <w:rsid w:val="00A42B20"/>
    <w:rsid w:val="00A858F8"/>
    <w:rsid w:val="00AA5786"/>
    <w:rsid w:val="00B539AD"/>
    <w:rsid w:val="00B64520"/>
    <w:rsid w:val="00BC20FB"/>
    <w:rsid w:val="00BC575B"/>
    <w:rsid w:val="00C139D2"/>
    <w:rsid w:val="00C2279B"/>
    <w:rsid w:val="00C73A10"/>
    <w:rsid w:val="00DD73DF"/>
    <w:rsid w:val="00DE4AC1"/>
    <w:rsid w:val="00DE6E55"/>
    <w:rsid w:val="00E44C0D"/>
    <w:rsid w:val="00F11038"/>
    <w:rsid w:val="00F52258"/>
    <w:rsid w:val="00F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49C4D"/>
  <w15:chartTrackingRefBased/>
  <w15:docId w15:val="{EDEE91C7-AE89-4732-81DD-C01D37F8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AD"/>
    <w:pPr>
      <w:spacing w:after="0" w:line="240" w:lineRule="auto"/>
    </w:pPr>
    <w:rPr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9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9AD"/>
    <w:pPr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B53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1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0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0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4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8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4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80AAA5CF74F447BA05F76C476250B2" ma:contentTypeVersion="15" ma:contentTypeDescription="Create a new document." ma:contentTypeScope="" ma:versionID="ca9a23a3acbf214ab7ceeb446997ae3f">
  <xsd:schema xmlns:xsd="http://www.w3.org/2001/XMLSchema" xmlns:xs="http://www.w3.org/2001/XMLSchema" xmlns:p="http://schemas.microsoft.com/office/2006/metadata/properties" xmlns:ns1="http://schemas.microsoft.com/sharepoint/v3" xmlns:ns2="b8bb9c85-4b61-48c2-a3b0-fe82957d03b1" xmlns:ns3="f2952a96-f3fc-4e1f-893e-6b66941114a8" targetNamespace="http://schemas.microsoft.com/office/2006/metadata/properties" ma:root="true" ma:fieldsID="3c6de1496e450c83b703be77fabd00d0" ns1:_="" ns2:_="" ns3:_="">
    <xsd:import namespace="http://schemas.microsoft.com/sharepoint/v3"/>
    <xsd:import namespace="b8bb9c85-4b61-48c2-a3b0-fe82957d03b1"/>
    <xsd:import namespace="f2952a96-f3fc-4e1f-893e-6b6694111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b9c85-4b61-48c2-a3b0-fe82957d0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52a96-f3fc-4e1f-893e-6b66941114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bb9c85-4b61-48c2-a3b0-fe82957d03b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5DC4558-F90A-44A7-B54E-08B9EE323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7ACE9E-A245-4B89-981C-E2488E7A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bb9c85-4b61-48c2-a3b0-fe82957d03b1"/>
    <ds:schemaRef ds:uri="f2952a96-f3fc-4e1f-893e-6b66941114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656EDF-493A-4079-9484-13B44ADE06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2D31C4-124A-458F-BF65-7E5DEF9B526D}">
  <ds:schemaRefs>
    <ds:schemaRef ds:uri="http://schemas.microsoft.com/office/2006/metadata/properties"/>
    <ds:schemaRef ds:uri="http://schemas.microsoft.com/office/infopath/2007/PartnerControls"/>
    <ds:schemaRef ds:uri="b8bb9c85-4b61-48c2-a3b0-fe82957d03b1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Dos Santos</dc:creator>
  <cp:keywords/>
  <dc:description/>
  <cp:lastModifiedBy>Mohamed Garrana</cp:lastModifiedBy>
  <cp:revision>35</cp:revision>
  <dcterms:created xsi:type="dcterms:W3CDTF">2020-06-24T13:32:00Z</dcterms:created>
  <dcterms:modified xsi:type="dcterms:W3CDTF">2021-03-23T11:42:00Z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2020-06-24T13:37:15Z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d7d87c24-68d2-486d-9dbe-934615003f28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0x0101001480AAA5CF74F447BA05F76C476250B2</vt:lpwstr>
  </property>
</Properties>
</file>