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CF8E" w14:textId="77777777" w:rsidR="00353CCE" w:rsidRDefault="00353CCE" w:rsidP="00353CCE">
      <w:pPr>
        <w:pStyle w:val="Title"/>
      </w:pPr>
      <w:r>
        <w:rPr>
          <w:rFonts w:ascii="Prata" w:hAnsi="Prata"/>
          <w:noProof/>
        </w:rPr>
        <w:drawing>
          <wp:inline distT="0" distB="0" distL="0" distR="0" wp14:anchorId="48F751F8" wp14:editId="5F039873">
            <wp:extent cx="5900397" cy="5923721"/>
            <wp:effectExtent l="0" t="0" r="0" b="0"/>
            <wp:docPr id="1846078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78136" name="Picture 1846078136"/>
                    <pic:cNvPicPr/>
                  </pic:nvPicPr>
                  <pic:blipFill>
                    <a:blip r:embed="rId7">
                      <a:extLst>
                        <a:ext uri="{28A0092B-C50C-407E-A947-70E740481C1C}">
                          <a14:useLocalDpi xmlns:a14="http://schemas.microsoft.com/office/drawing/2010/main" val="0"/>
                        </a:ext>
                      </a:extLst>
                    </a:blip>
                    <a:stretch>
                      <a:fillRect/>
                    </a:stretch>
                  </pic:blipFill>
                  <pic:spPr>
                    <a:xfrm>
                      <a:off x="0" y="0"/>
                      <a:ext cx="6062586" cy="6086551"/>
                    </a:xfrm>
                    <a:prstGeom prst="rect">
                      <a:avLst/>
                    </a:prstGeom>
                  </pic:spPr>
                </pic:pic>
              </a:graphicData>
            </a:graphic>
          </wp:inline>
        </w:drawing>
      </w:r>
      <w:bookmarkStart w:id="0" w:name="_Hlk219917721"/>
    </w:p>
    <w:bookmarkEnd w:id="0"/>
    <w:p w14:paraId="3E11D8D8" w14:textId="77777777" w:rsidR="003244D8" w:rsidRDefault="00353CCE" w:rsidP="003244D8">
      <w:pPr>
        <w:jc w:val="center"/>
        <w:rPr>
          <w:rFonts w:ascii="Prata" w:eastAsiaTheme="majorEastAsia" w:hAnsi="Prata" w:cstheme="majorBidi"/>
          <w:b/>
          <w:bCs/>
          <w:color w:val="948A54" w:themeColor="background2" w:themeShade="80"/>
          <w:sz w:val="36"/>
          <w:szCs w:val="36"/>
        </w:rPr>
      </w:pPr>
      <w:r w:rsidRPr="00353CCE">
        <w:rPr>
          <w:rFonts w:ascii="Prata" w:eastAsiaTheme="majorEastAsia" w:hAnsi="Prata" w:cstheme="majorBidi"/>
          <w:b/>
          <w:bCs/>
          <w:color w:val="948A54" w:themeColor="background2" w:themeShade="80"/>
          <w:sz w:val="36"/>
          <w:szCs w:val="36"/>
        </w:rPr>
        <w:t>Canadian Nuclear Laboratories NSDF Case Study: Landmark Ruling on Indigenous Consultation and Traditional Law Recognition</w:t>
      </w:r>
    </w:p>
    <w:p w14:paraId="4E9226D8" w14:textId="77777777" w:rsidR="006E59EC" w:rsidRDefault="006E59EC" w:rsidP="003244D8">
      <w:pPr>
        <w:jc w:val="center"/>
      </w:pPr>
    </w:p>
    <w:p w14:paraId="210B7D3A" w14:textId="77777777" w:rsidR="006E59EC" w:rsidRDefault="006E59EC" w:rsidP="003244D8">
      <w:pPr>
        <w:jc w:val="center"/>
      </w:pPr>
    </w:p>
    <w:p w14:paraId="30028ADE" w14:textId="57E90256" w:rsidR="003244D8" w:rsidRPr="003244D8" w:rsidRDefault="003244D8" w:rsidP="003244D8">
      <w:pPr>
        <w:jc w:val="center"/>
        <w:rPr>
          <w:rFonts w:ascii="Prata" w:eastAsiaTheme="majorEastAsia" w:hAnsi="Prata" w:cstheme="majorBidi"/>
          <w:b/>
          <w:bCs/>
          <w:color w:val="948A54" w:themeColor="background2" w:themeShade="80"/>
          <w:sz w:val="36"/>
          <w:szCs w:val="36"/>
        </w:rPr>
      </w:pPr>
      <w:r>
        <w:t>2026-0</w:t>
      </w:r>
      <w:r w:rsidR="006E59EC">
        <w:t>2</w:t>
      </w:r>
      <w:r>
        <w:t>-</w:t>
      </w:r>
      <w:r w:rsidR="006E59EC">
        <w:t>03</w:t>
      </w:r>
    </w:p>
    <w:p w14:paraId="68975893" w14:textId="77777777" w:rsidR="003244D8" w:rsidRDefault="003244D8" w:rsidP="003244D8">
      <w:pPr>
        <w:pStyle w:val="BodyText"/>
        <w:jc w:val="center"/>
        <w:rPr>
          <w:rFonts w:ascii="Prata" w:hAnsi="Prata"/>
          <w:noProof/>
        </w:rPr>
      </w:pPr>
      <w:r>
        <w:rPr>
          <w:rFonts w:ascii="Prata" w:hAnsi="Prata"/>
          <w:noProof/>
        </w:rPr>
        <w:lastRenderedPageBreak/>
        <w:drawing>
          <wp:inline distT="0" distB="0" distL="0" distR="0" wp14:anchorId="1BF92917" wp14:editId="40AA1CF7">
            <wp:extent cx="4210050" cy="6315075"/>
            <wp:effectExtent l="0" t="0" r="0" b="0"/>
            <wp:docPr id="1100289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89444" name="Picture 11002894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18907" cy="6328360"/>
                    </a:xfrm>
                    <a:prstGeom prst="rect">
                      <a:avLst/>
                    </a:prstGeom>
                  </pic:spPr>
                </pic:pic>
              </a:graphicData>
            </a:graphic>
          </wp:inline>
        </w:drawing>
      </w:r>
    </w:p>
    <w:p w14:paraId="112DFDE2" w14:textId="77777777" w:rsidR="003244D8" w:rsidRDefault="003244D8" w:rsidP="003244D8">
      <w:pPr>
        <w:spacing w:after="0" w:line="300" w:lineRule="atLeast"/>
        <w:rPr>
          <w:rFonts w:ascii="Prata" w:eastAsia="Times New Roman" w:hAnsi="Prata" w:cs="Segoe UI"/>
          <w:i/>
          <w:iCs/>
          <w:color w:val="948A54" w:themeColor="background2" w:themeShade="80"/>
          <w:sz w:val="21"/>
          <w:szCs w:val="21"/>
          <w:lang w:val="en-CA" w:eastAsia="en-CA"/>
        </w:rPr>
      </w:pPr>
    </w:p>
    <w:p w14:paraId="2C7191F5" w14:textId="77777777" w:rsidR="003244D8" w:rsidRPr="00645C80" w:rsidRDefault="003244D8" w:rsidP="003244D8">
      <w:pPr>
        <w:spacing w:after="0" w:line="300" w:lineRule="atLeast"/>
        <w:rPr>
          <w:rFonts w:ascii="Poppins" w:eastAsia="Times New Roman" w:hAnsi="Poppins" w:cs="Poppins"/>
          <w:i/>
          <w:iCs/>
          <w:color w:val="948A54" w:themeColor="background2" w:themeShade="80"/>
          <w:sz w:val="21"/>
          <w:szCs w:val="21"/>
          <w:lang w:val="en-CA" w:eastAsia="en-CA"/>
        </w:rPr>
      </w:pPr>
      <w:r w:rsidRPr="00645C80">
        <w:rPr>
          <w:rFonts w:ascii="Poppins" w:eastAsia="Times New Roman" w:hAnsi="Poppins" w:cs="Poppins"/>
          <w:i/>
          <w:iCs/>
          <w:color w:val="948A54" w:themeColor="background2" w:themeShade="80"/>
          <w:sz w:val="21"/>
          <w:szCs w:val="21"/>
          <w:lang w:val="en-CA" w:eastAsia="en-CA"/>
        </w:rPr>
        <w:t xml:space="preserve">This report has been compiled by </w:t>
      </w:r>
      <w:r w:rsidRPr="00645C80">
        <w:rPr>
          <w:rFonts w:ascii="Poppins" w:eastAsia="Times New Roman" w:hAnsi="Poppins" w:cs="Poppins"/>
          <w:b/>
          <w:bCs/>
          <w:i/>
          <w:iCs/>
          <w:color w:val="948A54" w:themeColor="background2" w:themeShade="80"/>
          <w:sz w:val="21"/>
          <w:szCs w:val="21"/>
          <w:lang w:val="en-CA" w:eastAsia="en-CA"/>
        </w:rPr>
        <w:t>Ugray Consulting Limited</w:t>
      </w:r>
      <w:r w:rsidRPr="00645C80">
        <w:rPr>
          <w:rFonts w:ascii="Poppins" w:eastAsia="Times New Roman" w:hAnsi="Poppins" w:cs="Poppins"/>
          <w:i/>
          <w:iCs/>
          <w:color w:val="948A54" w:themeColor="background2" w:themeShade="80"/>
          <w:sz w:val="21"/>
          <w:szCs w:val="21"/>
          <w:lang w:val="en-CA" w:eastAsia="en-CA"/>
        </w:rPr>
        <w:t xml:space="preserve">, with research and drafting support provided by </w:t>
      </w:r>
      <w:r w:rsidRPr="00645C80">
        <w:rPr>
          <w:rFonts w:ascii="Poppins" w:eastAsia="Times New Roman" w:hAnsi="Poppins" w:cs="Poppins"/>
          <w:b/>
          <w:bCs/>
          <w:i/>
          <w:iCs/>
          <w:color w:val="948A54" w:themeColor="background2" w:themeShade="80"/>
          <w:sz w:val="21"/>
          <w:szCs w:val="21"/>
          <w:lang w:val="en-CA" w:eastAsia="en-CA"/>
        </w:rPr>
        <w:t>Microsoft Office Agent (Frontier)</w:t>
      </w:r>
      <w:r w:rsidRPr="00645C80">
        <w:rPr>
          <w:rFonts w:ascii="Poppins" w:eastAsia="Times New Roman" w:hAnsi="Poppins" w:cs="Poppins"/>
          <w:i/>
          <w:iCs/>
          <w:color w:val="948A54" w:themeColor="background2" w:themeShade="80"/>
          <w:sz w:val="21"/>
          <w:szCs w:val="21"/>
          <w:lang w:val="en-CA" w:eastAsia="en-CA"/>
        </w:rPr>
        <w:t>, an AI-powered assistant. Our goal is to deliver accurate, insightful analysis while maintaining transparency about the tools and technologies used in its creation. By disclosing the involvement of AI in this process, we uphold our commitment to ethical practices and responsible innovation.</w:t>
      </w:r>
    </w:p>
    <w:p w14:paraId="5B1DCE1E" w14:textId="2179290C" w:rsidR="003244D8" w:rsidRPr="00645C80" w:rsidRDefault="003244D8">
      <w:pPr>
        <w:rPr>
          <w:rFonts w:ascii="Poppins" w:eastAsiaTheme="majorEastAsia" w:hAnsi="Poppins" w:cs="Poppins"/>
          <w:b/>
          <w:bCs/>
          <w:color w:val="948A54" w:themeColor="background2" w:themeShade="80"/>
          <w:sz w:val="36"/>
          <w:szCs w:val="36"/>
        </w:rPr>
      </w:pPr>
      <w:r w:rsidRPr="00645C80">
        <w:rPr>
          <w:rFonts w:ascii="Poppins" w:eastAsiaTheme="majorEastAsia" w:hAnsi="Poppins" w:cs="Poppins"/>
          <w:b/>
          <w:bCs/>
          <w:color w:val="948A54" w:themeColor="background2" w:themeShade="80"/>
          <w:sz w:val="36"/>
          <w:szCs w:val="36"/>
        </w:rPr>
        <w:br w:type="page"/>
      </w:r>
    </w:p>
    <w:p w14:paraId="0560DDF1" w14:textId="77777777" w:rsidR="00CE38E9" w:rsidRPr="003244D8" w:rsidRDefault="00000000">
      <w:pPr>
        <w:pStyle w:val="Heading1"/>
        <w:rPr>
          <w:rFonts w:ascii="Prata" w:hAnsi="Prata"/>
          <w:color w:val="948A54" w:themeColor="background2" w:themeShade="80"/>
        </w:rPr>
      </w:pPr>
      <w:bookmarkStart w:id="1" w:name="executive-summary"/>
      <w:r w:rsidRPr="003244D8">
        <w:rPr>
          <w:rFonts w:ascii="Prata" w:hAnsi="Prata"/>
          <w:color w:val="948A54" w:themeColor="background2" w:themeShade="80"/>
        </w:rPr>
        <w:lastRenderedPageBreak/>
        <w:t>Executive Summary</w:t>
      </w:r>
    </w:p>
    <w:p w14:paraId="702F1F6B" w14:textId="77777777" w:rsidR="00CE38E9" w:rsidRPr="003244D8" w:rsidRDefault="00000000">
      <w:pPr>
        <w:pStyle w:val="FirstParagraph"/>
        <w:rPr>
          <w:rFonts w:ascii="Poppins" w:hAnsi="Poppins" w:cs="Poppins"/>
        </w:rPr>
      </w:pPr>
      <w:r w:rsidRPr="003244D8">
        <w:rPr>
          <w:rFonts w:ascii="Poppins" w:hAnsi="Poppins" w:cs="Poppins"/>
        </w:rPr>
        <w:t xml:space="preserve">The Federal Court ruling in </w:t>
      </w:r>
      <w:r w:rsidRPr="003244D8">
        <w:rPr>
          <w:rFonts w:ascii="Poppins" w:hAnsi="Poppins" w:cs="Poppins"/>
          <w:i/>
          <w:iCs/>
        </w:rPr>
        <w:t>Kebaowek First Nation v. Canadian Nuclear Laboratories</w:t>
      </w:r>
      <w:r w:rsidRPr="003244D8">
        <w:rPr>
          <w:rFonts w:ascii="Poppins" w:hAnsi="Poppins" w:cs="Poppins"/>
        </w:rPr>
        <w:t xml:space="preserve"> (2025 FC 319) represents a watershed moment in Canadian Indigenous consultation law. Justice Julie Blackhawk's February 19, 2025 decision ordered the Canadian Nuclear Safety Commission (CNSC) to completely reconsider its approval of the Near Surface Disposal Facility (NSDF) at Chalk River, citing fundamental failures in Indigenous consultation and the improper application of the United Nations Declaration on the Rights of Indigenous Peoples (UNDRIP).</w:t>
      </w:r>
    </w:p>
    <w:p w14:paraId="08AF8415" w14:textId="77777777" w:rsidR="00CE38E9" w:rsidRPr="003244D8" w:rsidRDefault="00000000">
      <w:pPr>
        <w:pStyle w:val="Heading1"/>
        <w:rPr>
          <w:rFonts w:ascii="Prata" w:hAnsi="Prata"/>
          <w:color w:val="948A54" w:themeColor="background2" w:themeShade="80"/>
        </w:rPr>
      </w:pPr>
      <w:bookmarkStart w:id="2" w:name="case-background-and-context"/>
      <w:bookmarkEnd w:id="1"/>
      <w:r w:rsidRPr="003244D8">
        <w:rPr>
          <w:rFonts w:ascii="Prata" w:hAnsi="Prata"/>
          <w:color w:val="948A54" w:themeColor="background2" w:themeShade="80"/>
        </w:rPr>
        <w:t>Case Background and Context</w:t>
      </w:r>
    </w:p>
    <w:p w14:paraId="506AC5C3" w14:textId="77777777" w:rsidR="00CE38E9" w:rsidRPr="003244D8" w:rsidRDefault="00000000">
      <w:pPr>
        <w:pStyle w:val="Heading2"/>
        <w:rPr>
          <w:rFonts w:ascii="Prata" w:hAnsi="Prata"/>
          <w:color w:val="948A54" w:themeColor="background2" w:themeShade="80"/>
        </w:rPr>
      </w:pPr>
      <w:bookmarkStart w:id="3" w:name="project-overview"/>
      <w:r w:rsidRPr="003244D8">
        <w:rPr>
          <w:rFonts w:ascii="Prata" w:hAnsi="Prata"/>
          <w:color w:val="948A54" w:themeColor="background2" w:themeShade="80"/>
        </w:rPr>
        <w:t>Project Overview</w:t>
      </w:r>
    </w:p>
    <w:p w14:paraId="2B31A328" w14:textId="77777777" w:rsidR="00CE38E9" w:rsidRPr="003244D8" w:rsidRDefault="00000000">
      <w:pPr>
        <w:pStyle w:val="FirstParagraph"/>
        <w:rPr>
          <w:rFonts w:ascii="Poppins" w:hAnsi="Poppins" w:cs="Poppins"/>
        </w:rPr>
      </w:pPr>
      <w:r w:rsidRPr="003244D8">
        <w:rPr>
          <w:rFonts w:ascii="Poppins" w:hAnsi="Poppins" w:cs="Poppins"/>
        </w:rPr>
        <w:t xml:space="preserve">The Near Surface Disposal Facility (NSDF) represents Canadian Nuclear Laboratories' (CNL) proposed solution for permanently storing up to one million cubic metres of low-level nuclear waste at the Chalk River Laboratories site in Ontario </w:t>
      </w:r>
      <w:hyperlink w:anchor="X56a192b7913b04c54574d18c28d46e6395428ab">
        <w:r w:rsidR="00CE38E9" w:rsidRPr="003244D8">
          <w:rPr>
            <w:rStyle w:val="Hyperlink"/>
            <w:rFonts w:ascii="Poppins" w:hAnsi="Poppins" w:cs="Poppins"/>
          </w:rPr>
          <w:t>[1]</w:t>
        </w:r>
      </w:hyperlink>
      <w:r w:rsidRPr="003244D8">
        <w:rPr>
          <w:rFonts w:ascii="Poppins" w:hAnsi="Poppins" w:cs="Poppins"/>
        </w:rPr>
        <w:t>. Located near the Ottawa River in the traditional territory of Kebaowek First Nation (Algonquin), the facility was designed as an engineered mound system with liner, cover, and leak detection capabilities.</w:t>
      </w:r>
    </w:p>
    <w:p w14:paraId="2A4CFCCA" w14:textId="77777777" w:rsidR="00CE38E9" w:rsidRPr="003244D8" w:rsidRDefault="00000000">
      <w:pPr>
        <w:pStyle w:val="BodyText"/>
        <w:rPr>
          <w:rFonts w:ascii="Poppins" w:hAnsi="Poppins" w:cs="Poppins"/>
        </w:rPr>
      </w:pPr>
      <w:r w:rsidRPr="003244D8">
        <w:rPr>
          <w:rFonts w:ascii="Poppins" w:hAnsi="Poppins" w:cs="Poppins"/>
          <w:b/>
          <w:bCs/>
        </w:rPr>
        <w:t>Key Project Details:</w:t>
      </w:r>
    </w:p>
    <w:p w14:paraId="668AA141" w14:textId="77777777" w:rsidR="00CE38E9" w:rsidRPr="003244D8" w:rsidRDefault="00000000">
      <w:pPr>
        <w:pStyle w:val="Compact"/>
        <w:numPr>
          <w:ilvl w:val="0"/>
          <w:numId w:val="2"/>
        </w:numPr>
        <w:rPr>
          <w:rFonts w:ascii="Poppins" w:hAnsi="Poppins" w:cs="Poppins"/>
        </w:rPr>
      </w:pPr>
      <w:r w:rsidRPr="003244D8">
        <w:rPr>
          <w:rFonts w:ascii="Poppins" w:hAnsi="Poppins" w:cs="Poppins"/>
          <w:b/>
          <w:bCs/>
        </w:rPr>
        <w:t>Proponent</w:t>
      </w:r>
      <w:r w:rsidRPr="003244D8">
        <w:rPr>
          <w:rFonts w:ascii="Poppins" w:hAnsi="Poppins" w:cs="Poppins"/>
        </w:rPr>
        <w:t>: Canadian Nuclear Laboratories Ltd. (CNL)</w:t>
      </w:r>
    </w:p>
    <w:p w14:paraId="6F592C94" w14:textId="77777777" w:rsidR="00CE38E9" w:rsidRPr="003244D8" w:rsidRDefault="00000000">
      <w:pPr>
        <w:pStyle w:val="Compact"/>
        <w:numPr>
          <w:ilvl w:val="0"/>
          <w:numId w:val="2"/>
        </w:numPr>
        <w:rPr>
          <w:rFonts w:ascii="Poppins" w:hAnsi="Poppins" w:cs="Poppins"/>
        </w:rPr>
      </w:pPr>
      <w:r w:rsidRPr="003244D8">
        <w:rPr>
          <w:rFonts w:ascii="Poppins" w:hAnsi="Poppins" w:cs="Poppins"/>
          <w:b/>
          <w:bCs/>
        </w:rPr>
        <w:t>Regulator</w:t>
      </w:r>
      <w:r w:rsidRPr="003244D8">
        <w:rPr>
          <w:rFonts w:ascii="Poppins" w:hAnsi="Poppins" w:cs="Poppins"/>
        </w:rPr>
        <w:t>: Canadian Nuclear Safety Commission (CNSC)</w:t>
      </w:r>
    </w:p>
    <w:p w14:paraId="4B100E2B" w14:textId="77777777" w:rsidR="00CE38E9" w:rsidRPr="003244D8" w:rsidRDefault="00000000">
      <w:pPr>
        <w:pStyle w:val="Compact"/>
        <w:numPr>
          <w:ilvl w:val="0"/>
          <w:numId w:val="2"/>
        </w:numPr>
        <w:rPr>
          <w:rFonts w:ascii="Poppins" w:hAnsi="Poppins" w:cs="Poppins"/>
        </w:rPr>
      </w:pPr>
      <w:r w:rsidRPr="003244D8">
        <w:rPr>
          <w:rFonts w:ascii="Poppins" w:hAnsi="Poppins" w:cs="Poppins"/>
          <w:b/>
          <w:bCs/>
        </w:rPr>
        <w:t>Location</w:t>
      </w:r>
      <w:r w:rsidRPr="003244D8">
        <w:rPr>
          <w:rFonts w:ascii="Poppins" w:hAnsi="Poppins" w:cs="Poppins"/>
        </w:rPr>
        <w:t>: Chalk River Laboratories, Ontario (traditional Algonquin territory)</w:t>
      </w:r>
    </w:p>
    <w:p w14:paraId="41FC70BF" w14:textId="77777777" w:rsidR="00CE38E9" w:rsidRPr="003244D8" w:rsidRDefault="00000000">
      <w:pPr>
        <w:pStyle w:val="Compact"/>
        <w:numPr>
          <w:ilvl w:val="0"/>
          <w:numId w:val="2"/>
        </w:numPr>
        <w:rPr>
          <w:rFonts w:ascii="Poppins" w:hAnsi="Poppins" w:cs="Poppins"/>
        </w:rPr>
      </w:pPr>
      <w:r w:rsidRPr="003244D8">
        <w:rPr>
          <w:rFonts w:ascii="Poppins" w:hAnsi="Poppins" w:cs="Poppins"/>
          <w:b/>
          <w:bCs/>
        </w:rPr>
        <w:t>Capacity</w:t>
      </w:r>
      <w:r w:rsidRPr="003244D8">
        <w:rPr>
          <w:rFonts w:ascii="Poppins" w:hAnsi="Poppins" w:cs="Poppins"/>
        </w:rPr>
        <w:t>: 1 million cubic metres of low-level nuclear waste</w:t>
      </w:r>
    </w:p>
    <w:p w14:paraId="0C7E2329" w14:textId="77777777" w:rsidR="00CE38E9" w:rsidRPr="003244D8" w:rsidRDefault="00000000">
      <w:pPr>
        <w:pStyle w:val="Compact"/>
        <w:numPr>
          <w:ilvl w:val="0"/>
          <w:numId w:val="2"/>
        </w:numPr>
        <w:rPr>
          <w:rFonts w:ascii="Poppins" w:hAnsi="Poppins" w:cs="Poppins"/>
        </w:rPr>
      </w:pPr>
      <w:r w:rsidRPr="003244D8">
        <w:rPr>
          <w:rFonts w:ascii="Poppins" w:hAnsi="Poppins" w:cs="Poppins"/>
          <w:b/>
          <w:bCs/>
        </w:rPr>
        <w:t>Affected Community</w:t>
      </w:r>
      <w:r w:rsidRPr="003244D8">
        <w:rPr>
          <w:rFonts w:ascii="Poppins" w:hAnsi="Poppins" w:cs="Poppins"/>
        </w:rPr>
        <w:t>: Kebaowek First Nation (400 members)</w:t>
      </w:r>
    </w:p>
    <w:p w14:paraId="5E179237" w14:textId="77777777" w:rsidR="00CE38E9" w:rsidRPr="003244D8" w:rsidRDefault="00000000">
      <w:pPr>
        <w:pStyle w:val="Compact"/>
        <w:numPr>
          <w:ilvl w:val="0"/>
          <w:numId w:val="2"/>
        </w:numPr>
        <w:rPr>
          <w:rFonts w:ascii="Poppins" w:hAnsi="Poppins" w:cs="Poppins"/>
        </w:rPr>
      </w:pPr>
      <w:r w:rsidRPr="003244D8">
        <w:rPr>
          <w:rFonts w:ascii="Poppins" w:hAnsi="Poppins" w:cs="Poppins"/>
          <w:b/>
          <w:bCs/>
        </w:rPr>
        <w:t>Timeline</w:t>
      </w:r>
      <w:r w:rsidRPr="003244D8">
        <w:rPr>
          <w:rFonts w:ascii="Poppins" w:hAnsi="Poppins" w:cs="Poppins"/>
        </w:rPr>
        <w:t>: Multi-year consultation process leading to 2024 approval</w:t>
      </w:r>
    </w:p>
    <w:p w14:paraId="49513C45" w14:textId="77777777" w:rsidR="00CE38E9" w:rsidRPr="003244D8" w:rsidRDefault="00000000">
      <w:pPr>
        <w:pStyle w:val="Heading2"/>
        <w:rPr>
          <w:rFonts w:ascii="Prata" w:hAnsi="Prata"/>
          <w:color w:val="948A54" w:themeColor="background2" w:themeShade="80"/>
        </w:rPr>
      </w:pPr>
      <w:bookmarkStart w:id="4" w:name="legal-and-regulatory-framework"/>
      <w:bookmarkEnd w:id="3"/>
      <w:r w:rsidRPr="003244D8">
        <w:rPr>
          <w:rFonts w:ascii="Prata" w:hAnsi="Prata"/>
          <w:color w:val="948A54" w:themeColor="background2" w:themeShade="80"/>
        </w:rPr>
        <w:t>Legal and Regulatory Framework</w:t>
      </w:r>
    </w:p>
    <w:p w14:paraId="4C81F94F" w14:textId="77777777" w:rsidR="00CE38E9" w:rsidRPr="003244D8" w:rsidRDefault="00000000">
      <w:pPr>
        <w:pStyle w:val="FirstParagraph"/>
        <w:rPr>
          <w:rFonts w:ascii="Poppins" w:hAnsi="Poppins" w:cs="Poppins"/>
        </w:rPr>
      </w:pPr>
      <w:r w:rsidRPr="003244D8">
        <w:rPr>
          <w:rFonts w:ascii="Poppins" w:hAnsi="Poppins" w:cs="Poppins"/>
        </w:rPr>
        <w:t>The NSDF approval process occurred within the context of evolving Indigenous rights legislation, including:</w:t>
      </w:r>
    </w:p>
    <w:p w14:paraId="31462829" w14:textId="77777777" w:rsidR="00CE38E9" w:rsidRPr="003244D8" w:rsidRDefault="00000000">
      <w:pPr>
        <w:pStyle w:val="Compact"/>
        <w:numPr>
          <w:ilvl w:val="0"/>
          <w:numId w:val="3"/>
        </w:numPr>
        <w:rPr>
          <w:rFonts w:ascii="Poppins" w:hAnsi="Poppins" w:cs="Poppins"/>
        </w:rPr>
      </w:pPr>
      <w:r w:rsidRPr="003244D8">
        <w:rPr>
          <w:rFonts w:ascii="Poppins" w:hAnsi="Poppins" w:cs="Poppins"/>
          <w:b/>
          <w:bCs/>
        </w:rPr>
        <w:lastRenderedPageBreak/>
        <w:t>UNDRIP Implementation</w:t>
      </w:r>
      <w:r w:rsidRPr="003244D8">
        <w:rPr>
          <w:rFonts w:ascii="Poppins" w:hAnsi="Poppins" w:cs="Poppins"/>
        </w:rPr>
        <w:t>: The United Nations Declaration on the Rights of Indigenous Peoples Act (UNDA) came into force in 2021</w:t>
      </w:r>
    </w:p>
    <w:p w14:paraId="6B7F8C47" w14:textId="77777777" w:rsidR="00CE38E9" w:rsidRPr="003244D8" w:rsidRDefault="00000000">
      <w:pPr>
        <w:pStyle w:val="Compact"/>
        <w:numPr>
          <w:ilvl w:val="0"/>
          <w:numId w:val="3"/>
        </w:numPr>
        <w:rPr>
          <w:rFonts w:ascii="Poppins" w:hAnsi="Poppins" w:cs="Poppins"/>
        </w:rPr>
      </w:pPr>
      <w:r w:rsidRPr="003244D8">
        <w:rPr>
          <w:rFonts w:ascii="Poppins" w:hAnsi="Poppins" w:cs="Poppins"/>
          <w:b/>
          <w:bCs/>
        </w:rPr>
        <w:t>Free, Prior, and Informed Consent (FPIC)</w:t>
      </w:r>
      <w:r w:rsidRPr="003244D8">
        <w:rPr>
          <w:rFonts w:ascii="Poppins" w:hAnsi="Poppins" w:cs="Poppins"/>
        </w:rPr>
        <w:t>: International standard requiring meaningful Indigenous consent</w:t>
      </w:r>
    </w:p>
    <w:p w14:paraId="17356267" w14:textId="77777777" w:rsidR="00CE38E9" w:rsidRPr="003244D8" w:rsidRDefault="00000000">
      <w:pPr>
        <w:pStyle w:val="Compact"/>
        <w:numPr>
          <w:ilvl w:val="0"/>
          <w:numId w:val="3"/>
        </w:numPr>
        <w:rPr>
          <w:rFonts w:ascii="Poppins" w:hAnsi="Poppins" w:cs="Poppins"/>
        </w:rPr>
      </w:pPr>
      <w:r w:rsidRPr="003244D8">
        <w:rPr>
          <w:rFonts w:ascii="Poppins" w:hAnsi="Poppins" w:cs="Poppins"/>
          <w:b/>
          <w:bCs/>
        </w:rPr>
        <w:t>Crown Duty to Consult</w:t>
      </w:r>
      <w:r w:rsidRPr="003244D8">
        <w:rPr>
          <w:rFonts w:ascii="Poppins" w:hAnsi="Poppins" w:cs="Poppins"/>
        </w:rPr>
        <w:t>: Constitutional obligation to consult with Indigenous peoples on projects affecting their rights</w:t>
      </w:r>
    </w:p>
    <w:p w14:paraId="760CBE64" w14:textId="77777777" w:rsidR="00CE38E9" w:rsidRPr="003244D8" w:rsidRDefault="00000000">
      <w:pPr>
        <w:pStyle w:val="Compact"/>
        <w:numPr>
          <w:ilvl w:val="0"/>
          <w:numId w:val="3"/>
        </w:numPr>
        <w:rPr>
          <w:rFonts w:ascii="Poppins" w:hAnsi="Poppins" w:cs="Poppins"/>
        </w:rPr>
      </w:pPr>
      <w:r w:rsidRPr="003244D8">
        <w:rPr>
          <w:rFonts w:ascii="Poppins" w:hAnsi="Poppins" w:cs="Poppins"/>
          <w:b/>
          <w:bCs/>
        </w:rPr>
        <w:t>Traditional Territory Rights</w:t>
      </w:r>
      <w:r w:rsidRPr="003244D8">
        <w:rPr>
          <w:rFonts w:ascii="Poppins" w:hAnsi="Poppins" w:cs="Poppins"/>
        </w:rPr>
        <w:t>: Recognition of Indigenous legal frameworks and governance structures</w:t>
      </w:r>
    </w:p>
    <w:p w14:paraId="72A533A3" w14:textId="77777777" w:rsidR="00CE38E9" w:rsidRPr="003244D8" w:rsidRDefault="00000000">
      <w:pPr>
        <w:pStyle w:val="Heading1"/>
        <w:rPr>
          <w:rFonts w:ascii="Prata" w:hAnsi="Prata"/>
          <w:color w:val="948A54" w:themeColor="background2" w:themeShade="80"/>
        </w:rPr>
      </w:pPr>
      <w:bookmarkStart w:id="5" w:name="the-federal-court-challenge"/>
      <w:bookmarkEnd w:id="2"/>
      <w:bookmarkEnd w:id="4"/>
      <w:r w:rsidRPr="003244D8">
        <w:rPr>
          <w:rFonts w:ascii="Prata" w:hAnsi="Prata"/>
          <w:color w:val="948A54" w:themeColor="background2" w:themeShade="80"/>
        </w:rPr>
        <w:t>The Federal Court Challenge</w:t>
      </w:r>
    </w:p>
    <w:p w14:paraId="46BAD7DF" w14:textId="77777777" w:rsidR="00CE38E9" w:rsidRPr="003244D8" w:rsidRDefault="00000000">
      <w:pPr>
        <w:pStyle w:val="Heading2"/>
        <w:rPr>
          <w:rFonts w:ascii="Prata" w:hAnsi="Prata"/>
          <w:color w:val="948A54" w:themeColor="background2" w:themeShade="80"/>
        </w:rPr>
      </w:pPr>
      <w:bookmarkStart w:id="6" w:name="kebaowek-first-nations-legal-arguments"/>
      <w:r w:rsidRPr="003244D8">
        <w:rPr>
          <w:rFonts w:ascii="Prata" w:hAnsi="Prata"/>
          <w:color w:val="948A54" w:themeColor="background2" w:themeShade="80"/>
        </w:rPr>
        <w:t>Kebaowek First Nation's Legal Arguments</w:t>
      </w:r>
    </w:p>
    <w:p w14:paraId="08F84FF8" w14:textId="77777777" w:rsidR="00CE38E9" w:rsidRPr="003244D8" w:rsidRDefault="00000000">
      <w:pPr>
        <w:pStyle w:val="FirstParagraph"/>
        <w:rPr>
          <w:rFonts w:ascii="Poppins" w:hAnsi="Poppins" w:cs="Poppins"/>
        </w:rPr>
      </w:pPr>
      <w:r w:rsidRPr="003244D8">
        <w:rPr>
          <w:rFonts w:ascii="Poppins" w:hAnsi="Poppins" w:cs="Poppins"/>
        </w:rPr>
        <w:t xml:space="preserve">Kebaowek First Nation launched multiple judicial reviews challenging the CNSC's approval of the NSDF license amendment. The primary legal challenge focused on three critical areas </w:t>
      </w:r>
      <w:hyperlink w:anchor="Xa4b9237bacccdf19c0760cab7aec4a8359010b0">
        <w:r w:rsidR="00CE38E9" w:rsidRPr="003244D8">
          <w:rPr>
            <w:rStyle w:val="Hyperlink"/>
            <w:rFonts w:ascii="Poppins" w:hAnsi="Poppins" w:cs="Poppins"/>
          </w:rPr>
          <w:t>[2]</w:t>
        </w:r>
      </w:hyperlink>
      <w:r w:rsidRPr="003244D8">
        <w:rPr>
          <w:rFonts w:ascii="Poppins" w:hAnsi="Poppins" w:cs="Poppins"/>
        </w:rPr>
        <w:t>:</w:t>
      </w:r>
    </w:p>
    <w:p w14:paraId="39209B49" w14:textId="29BF7E57" w:rsidR="00CE38E9" w:rsidRPr="003244D8" w:rsidRDefault="00000000">
      <w:pPr>
        <w:pStyle w:val="Compact"/>
        <w:numPr>
          <w:ilvl w:val="0"/>
          <w:numId w:val="4"/>
        </w:numPr>
        <w:rPr>
          <w:rFonts w:ascii="Poppins" w:hAnsi="Poppins" w:cs="Poppins"/>
        </w:rPr>
      </w:pPr>
      <w:r w:rsidRPr="003244D8">
        <w:rPr>
          <w:rFonts w:ascii="Poppins" w:hAnsi="Poppins" w:cs="Poppins"/>
          <w:b/>
          <w:bCs/>
        </w:rPr>
        <w:t>UNDRIP Application Failure</w:t>
      </w:r>
      <w:r w:rsidRPr="003244D8">
        <w:rPr>
          <w:rFonts w:ascii="Poppins" w:hAnsi="Poppins" w:cs="Poppins"/>
        </w:rPr>
        <w:t>: CNSC erroneously determined it lacked jurisdiction to apply UNDRIP an</w:t>
      </w:r>
      <w:r w:rsidR="00F02E76">
        <w:rPr>
          <w:rFonts w:ascii="Poppins" w:hAnsi="Poppins" w:cs="Poppins"/>
        </w:rPr>
        <w:t>d</w:t>
      </w:r>
      <w:r w:rsidRPr="003244D8">
        <w:rPr>
          <w:rFonts w:ascii="Poppins" w:hAnsi="Poppins" w:cs="Poppins"/>
        </w:rPr>
        <w:t xml:space="preserve"> UNDA to consultation obligations</w:t>
      </w:r>
    </w:p>
    <w:p w14:paraId="32F21038" w14:textId="77777777" w:rsidR="00CE38E9" w:rsidRPr="003244D8" w:rsidRDefault="00000000">
      <w:pPr>
        <w:pStyle w:val="Compact"/>
        <w:numPr>
          <w:ilvl w:val="0"/>
          <w:numId w:val="4"/>
        </w:numPr>
        <w:rPr>
          <w:rFonts w:ascii="Poppins" w:hAnsi="Poppins" w:cs="Poppins"/>
        </w:rPr>
      </w:pPr>
      <w:r w:rsidRPr="003244D8">
        <w:rPr>
          <w:rFonts w:ascii="Poppins" w:hAnsi="Poppins" w:cs="Poppins"/>
          <w:b/>
          <w:bCs/>
        </w:rPr>
        <w:t>Inadequate Consultation Assessment</w:t>
      </w:r>
      <w:r w:rsidRPr="003244D8">
        <w:rPr>
          <w:rFonts w:ascii="Poppins" w:hAnsi="Poppins" w:cs="Poppins"/>
        </w:rPr>
        <w:t>: Crown's duty to consult and accommodate was not properly fulfilled</w:t>
      </w:r>
    </w:p>
    <w:p w14:paraId="0B64FFE0" w14:textId="77777777" w:rsidR="00CE38E9" w:rsidRPr="003244D8" w:rsidRDefault="00000000">
      <w:pPr>
        <w:pStyle w:val="Compact"/>
        <w:numPr>
          <w:ilvl w:val="0"/>
          <w:numId w:val="4"/>
        </w:numPr>
        <w:rPr>
          <w:rFonts w:ascii="Poppins" w:hAnsi="Poppins" w:cs="Poppins"/>
        </w:rPr>
      </w:pPr>
      <w:r w:rsidRPr="003244D8">
        <w:rPr>
          <w:rFonts w:ascii="Poppins" w:hAnsi="Poppins" w:cs="Poppins"/>
          <w:b/>
          <w:bCs/>
        </w:rPr>
        <w:t>Environmental Impact Misassessment</w:t>
      </w:r>
      <w:r w:rsidRPr="003244D8">
        <w:rPr>
          <w:rFonts w:ascii="Poppins" w:hAnsi="Poppins" w:cs="Poppins"/>
        </w:rPr>
        <w:t>: Failure to properly evaluate significant adverse environmental effects</w:t>
      </w:r>
    </w:p>
    <w:p w14:paraId="3CB8EB73" w14:textId="77777777" w:rsidR="00CE38E9" w:rsidRPr="00B964B5" w:rsidRDefault="00000000">
      <w:pPr>
        <w:pStyle w:val="Heading2"/>
        <w:rPr>
          <w:rFonts w:ascii="Prata" w:hAnsi="Prata"/>
          <w:color w:val="948A54" w:themeColor="background2" w:themeShade="80"/>
        </w:rPr>
      </w:pPr>
      <w:bookmarkStart w:id="7" w:name="chief-lance-haymonds-position"/>
      <w:bookmarkEnd w:id="6"/>
      <w:r w:rsidRPr="00B964B5">
        <w:rPr>
          <w:rFonts w:ascii="Prata" w:hAnsi="Prata"/>
          <w:color w:val="948A54" w:themeColor="background2" w:themeShade="80"/>
        </w:rPr>
        <w:t>Chief Lance Haymond's Position</w:t>
      </w:r>
    </w:p>
    <w:p w14:paraId="1D2D61A9" w14:textId="77777777" w:rsidR="00CE38E9" w:rsidRPr="00B964B5" w:rsidRDefault="00000000">
      <w:pPr>
        <w:pStyle w:val="FirstParagraph"/>
        <w:rPr>
          <w:rFonts w:ascii="Poppins" w:hAnsi="Poppins" w:cs="Poppins"/>
        </w:rPr>
      </w:pPr>
      <w:r w:rsidRPr="00B964B5">
        <w:rPr>
          <w:rFonts w:ascii="Poppins" w:hAnsi="Poppins" w:cs="Poppins"/>
        </w:rPr>
        <w:t xml:space="preserve">Chief Lance Haymond of Kebaowek First Nation articulated the community's fundamental concern: </w:t>
      </w:r>
      <w:r w:rsidRPr="00B964B5">
        <w:rPr>
          <w:rFonts w:ascii="Poppins" w:hAnsi="Poppins" w:cs="Poppins"/>
          <w:i/>
          <w:iCs/>
        </w:rPr>
        <w:t>"This decision confirms what we have been saying all along - consultation must be more than a checkbox exercise. It must be real, meaningful, and grounded in the principles of free, prior, and informed consent"</w:t>
      </w:r>
      <w:r w:rsidRPr="00B964B5">
        <w:rPr>
          <w:rFonts w:ascii="Poppins" w:hAnsi="Poppins" w:cs="Poppins"/>
        </w:rPr>
        <w:t xml:space="preserve"> </w:t>
      </w:r>
      <w:hyperlink w:anchor="X56a192b7913b04c54574d18c28d46e6395428ab">
        <w:r w:rsidR="00CE38E9" w:rsidRPr="00B964B5">
          <w:rPr>
            <w:rStyle w:val="Hyperlink"/>
            <w:rFonts w:ascii="Poppins" w:hAnsi="Poppins" w:cs="Poppins"/>
          </w:rPr>
          <w:t>[1]</w:t>
        </w:r>
      </w:hyperlink>
      <w:r w:rsidRPr="00B964B5">
        <w:rPr>
          <w:rFonts w:ascii="Poppins" w:hAnsi="Poppins" w:cs="Poppins"/>
        </w:rPr>
        <w:t>.</w:t>
      </w:r>
    </w:p>
    <w:p w14:paraId="710863C9" w14:textId="77777777" w:rsidR="00CE38E9" w:rsidRPr="00B964B5" w:rsidRDefault="00000000">
      <w:pPr>
        <w:pStyle w:val="BodyText"/>
        <w:rPr>
          <w:rFonts w:ascii="Poppins" w:hAnsi="Poppins" w:cs="Poppins"/>
        </w:rPr>
      </w:pPr>
      <w:r w:rsidRPr="00B964B5">
        <w:rPr>
          <w:rFonts w:ascii="Poppins" w:hAnsi="Poppins" w:cs="Poppins"/>
        </w:rPr>
        <w:t>This statement encapsulates the core issue: the distinction between procedural consultation and meaningful engagement that respects Indigenous legal frameworks and governance structures.</w:t>
      </w:r>
    </w:p>
    <w:p w14:paraId="2EFAAF63" w14:textId="77777777" w:rsidR="00CE38E9" w:rsidRPr="00B964B5" w:rsidRDefault="00000000">
      <w:pPr>
        <w:pStyle w:val="Heading1"/>
        <w:rPr>
          <w:rFonts w:ascii="Prata" w:hAnsi="Prata"/>
          <w:color w:val="948A54" w:themeColor="background2" w:themeShade="80"/>
        </w:rPr>
      </w:pPr>
      <w:bookmarkStart w:id="8" w:name="justice-blackhawks-landmark-ruling"/>
      <w:bookmarkEnd w:id="5"/>
      <w:bookmarkEnd w:id="7"/>
      <w:r w:rsidRPr="00B964B5">
        <w:rPr>
          <w:rFonts w:ascii="Prata" w:hAnsi="Prata"/>
          <w:color w:val="948A54" w:themeColor="background2" w:themeShade="80"/>
        </w:rPr>
        <w:lastRenderedPageBreak/>
        <w:t>Justice Blackhawk's Landmark Ruling</w:t>
      </w:r>
    </w:p>
    <w:p w14:paraId="62273D55" w14:textId="77777777" w:rsidR="00CE38E9" w:rsidRPr="00B964B5" w:rsidRDefault="00000000">
      <w:pPr>
        <w:pStyle w:val="Heading2"/>
        <w:rPr>
          <w:rFonts w:ascii="Prata" w:hAnsi="Prata"/>
          <w:color w:val="948A54" w:themeColor="background2" w:themeShade="80"/>
        </w:rPr>
      </w:pPr>
      <w:bookmarkStart w:id="9" w:name="key-legal-findings"/>
      <w:r w:rsidRPr="00B964B5">
        <w:rPr>
          <w:rFonts w:ascii="Prata" w:hAnsi="Prata"/>
          <w:color w:val="948A54" w:themeColor="background2" w:themeShade="80"/>
        </w:rPr>
        <w:t>Key Legal Findings</w:t>
      </w:r>
    </w:p>
    <w:p w14:paraId="1668D3F4" w14:textId="77777777" w:rsidR="00CE38E9" w:rsidRPr="00B964B5" w:rsidRDefault="00000000">
      <w:pPr>
        <w:pStyle w:val="FirstParagraph"/>
        <w:rPr>
          <w:rFonts w:ascii="Poppins" w:hAnsi="Poppins" w:cs="Poppins"/>
        </w:rPr>
      </w:pPr>
      <w:r w:rsidRPr="00B964B5">
        <w:rPr>
          <w:rFonts w:ascii="Poppins" w:hAnsi="Poppins" w:cs="Poppins"/>
        </w:rPr>
        <w:t xml:space="preserve">Justice Julie Blackhawk's February 19, </w:t>
      </w:r>
      <w:proofErr w:type="gramStart"/>
      <w:r w:rsidRPr="00B964B5">
        <w:rPr>
          <w:rFonts w:ascii="Poppins" w:hAnsi="Poppins" w:cs="Poppins"/>
        </w:rPr>
        <w:t>2025</w:t>
      </w:r>
      <w:proofErr w:type="gramEnd"/>
      <w:r w:rsidRPr="00B964B5">
        <w:rPr>
          <w:rFonts w:ascii="Poppins" w:hAnsi="Poppins" w:cs="Poppins"/>
        </w:rPr>
        <w:t xml:space="preserve"> decision established several precedent-setting legal principles </w:t>
      </w:r>
      <w:hyperlink w:anchor="X7de68daecd823babbb58edb1c8e14d7106e83bb">
        <w:r w:rsidR="00CE38E9" w:rsidRPr="00B964B5">
          <w:rPr>
            <w:rStyle w:val="Hyperlink"/>
            <w:rFonts w:ascii="Poppins" w:hAnsi="Poppins" w:cs="Poppins"/>
          </w:rPr>
          <w:t>[3]</w:t>
        </w:r>
      </w:hyperlink>
      <w:r w:rsidRPr="00B964B5">
        <w:rPr>
          <w:rFonts w:ascii="Poppins" w:hAnsi="Poppins" w:cs="Poppins"/>
        </w:rPr>
        <w:t>:</w:t>
      </w:r>
    </w:p>
    <w:p w14:paraId="4E97E499" w14:textId="77777777" w:rsidR="00CE38E9" w:rsidRPr="00B964B5" w:rsidRDefault="00000000">
      <w:pPr>
        <w:pStyle w:val="BodyText"/>
        <w:rPr>
          <w:rFonts w:ascii="Poppins" w:hAnsi="Poppins" w:cs="Poppins"/>
        </w:rPr>
      </w:pPr>
      <w:r w:rsidRPr="00B964B5">
        <w:rPr>
          <w:rFonts w:ascii="Poppins" w:hAnsi="Poppins" w:cs="Poppins"/>
          <w:b/>
          <w:bCs/>
        </w:rPr>
        <w:t>1. UNDRIP Jurisdictional Authority</w:t>
      </w:r>
      <w:r w:rsidRPr="00B964B5">
        <w:rPr>
          <w:rFonts w:ascii="Poppins" w:hAnsi="Poppins" w:cs="Poppins"/>
        </w:rPr>
        <w:t xml:space="preserve"> The court found that the CNSC erred in determining it lacked jurisdiction to consider UNDRIP and UNDA applications to consultation obligations. This ruling establishes that federal regulatory bodies must actively apply UNDRIP principles in their decision-making processes.</w:t>
      </w:r>
    </w:p>
    <w:p w14:paraId="34299AD3" w14:textId="77777777" w:rsidR="00CE38E9" w:rsidRPr="00B964B5" w:rsidRDefault="00000000">
      <w:pPr>
        <w:pStyle w:val="BodyText"/>
        <w:rPr>
          <w:rFonts w:ascii="Poppins" w:hAnsi="Poppins" w:cs="Poppins"/>
        </w:rPr>
      </w:pPr>
      <w:r w:rsidRPr="00B964B5">
        <w:rPr>
          <w:rFonts w:ascii="Poppins" w:hAnsi="Poppins" w:cs="Poppins"/>
          <w:b/>
          <w:bCs/>
        </w:rPr>
        <w:t>2. FPIC as Interpretive Lens</w:t>
      </w:r>
      <w:r w:rsidRPr="00B964B5">
        <w:rPr>
          <w:rFonts w:ascii="Poppins" w:hAnsi="Poppins" w:cs="Poppins"/>
        </w:rPr>
        <w:t xml:space="preserve"> The court determined that the CNSC's consultation assessment was fundamentally flawed due to failure to consider UNDRIP's "free, prior, and informed consent" standard as an interpretive framework for evaluating Crown consultation obligations.</w:t>
      </w:r>
    </w:p>
    <w:p w14:paraId="3B2550F1" w14:textId="77777777" w:rsidR="00CE38E9" w:rsidRPr="00B964B5" w:rsidRDefault="00000000">
      <w:pPr>
        <w:pStyle w:val="BodyText"/>
        <w:rPr>
          <w:rFonts w:ascii="Poppins" w:hAnsi="Poppins" w:cs="Poppins"/>
        </w:rPr>
      </w:pPr>
      <w:r w:rsidRPr="00B964B5">
        <w:rPr>
          <w:rFonts w:ascii="Poppins" w:hAnsi="Poppins" w:cs="Poppins"/>
          <w:b/>
          <w:bCs/>
        </w:rPr>
        <w:t>3. Indigenous Legal Framework Integration</w:t>
      </w:r>
      <w:r w:rsidRPr="00B964B5">
        <w:rPr>
          <w:rFonts w:ascii="Poppins" w:hAnsi="Poppins" w:cs="Poppins"/>
        </w:rPr>
        <w:t xml:space="preserve"> Most significantly, the court ordered that renewed consultation must </w:t>
      </w:r>
      <w:r w:rsidRPr="00B964B5">
        <w:rPr>
          <w:rFonts w:ascii="Poppins" w:hAnsi="Poppins" w:cs="Poppins"/>
          <w:i/>
          <w:iCs/>
        </w:rPr>
        <w:t>"incorporate Kebaowek law, knowledge, and practices into their processes, and to work towards achieving an agreement"</w:t>
      </w:r>
      <w:r w:rsidRPr="00B964B5">
        <w:rPr>
          <w:rFonts w:ascii="Poppins" w:hAnsi="Poppins" w:cs="Poppins"/>
        </w:rPr>
        <w:t xml:space="preserve"> </w:t>
      </w:r>
      <w:hyperlink w:anchor="X7de68daecd823babbb58edb1c8e14d7106e83bb">
        <w:r w:rsidR="00CE38E9" w:rsidRPr="00B964B5">
          <w:rPr>
            <w:rStyle w:val="Hyperlink"/>
            <w:rFonts w:ascii="Poppins" w:hAnsi="Poppins" w:cs="Poppins"/>
          </w:rPr>
          <w:t>[3]</w:t>
        </w:r>
      </w:hyperlink>
      <w:r w:rsidRPr="00B964B5">
        <w:rPr>
          <w:rFonts w:ascii="Poppins" w:hAnsi="Poppins" w:cs="Poppins"/>
        </w:rPr>
        <w:t>.</w:t>
      </w:r>
    </w:p>
    <w:p w14:paraId="219F018C" w14:textId="77777777" w:rsidR="00CE38E9" w:rsidRPr="00B964B5" w:rsidRDefault="00000000">
      <w:pPr>
        <w:pStyle w:val="Heading2"/>
        <w:rPr>
          <w:rFonts w:ascii="Prata" w:hAnsi="Prata"/>
          <w:color w:val="948A54" w:themeColor="background2" w:themeShade="80"/>
        </w:rPr>
      </w:pPr>
      <w:bookmarkStart w:id="10" w:name="remedial-orders"/>
      <w:bookmarkEnd w:id="9"/>
      <w:r w:rsidRPr="00B964B5">
        <w:rPr>
          <w:rFonts w:ascii="Prata" w:hAnsi="Prata"/>
          <w:color w:val="948A54" w:themeColor="background2" w:themeShade="80"/>
        </w:rPr>
        <w:t>Remedial Orders</w:t>
      </w:r>
    </w:p>
    <w:p w14:paraId="6C0B2316" w14:textId="77777777" w:rsidR="00CE38E9" w:rsidRPr="00B964B5" w:rsidRDefault="00000000">
      <w:pPr>
        <w:pStyle w:val="FirstParagraph"/>
        <w:rPr>
          <w:rFonts w:ascii="Poppins" w:hAnsi="Poppins" w:cs="Poppins"/>
        </w:rPr>
      </w:pPr>
      <w:r w:rsidRPr="00B964B5">
        <w:rPr>
          <w:rFonts w:ascii="Poppins" w:hAnsi="Poppins" w:cs="Poppins"/>
        </w:rPr>
        <w:t>The Federal Court issued comprehensive remedial directions:</w:t>
      </w:r>
    </w:p>
    <w:p w14:paraId="024DEAEC" w14:textId="77777777" w:rsidR="00CE38E9" w:rsidRPr="00B964B5" w:rsidRDefault="00000000">
      <w:pPr>
        <w:pStyle w:val="Compact"/>
        <w:numPr>
          <w:ilvl w:val="0"/>
          <w:numId w:val="5"/>
        </w:numPr>
        <w:rPr>
          <w:rFonts w:ascii="Poppins" w:hAnsi="Poppins" w:cs="Poppins"/>
        </w:rPr>
      </w:pPr>
      <w:r w:rsidRPr="00B964B5">
        <w:rPr>
          <w:rFonts w:ascii="Poppins" w:hAnsi="Poppins" w:cs="Poppins"/>
          <w:b/>
          <w:bCs/>
        </w:rPr>
        <w:t>Complete Reconsideration</w:t>
      </w:r>
      <w:r w:rsidRPr="00B964B5">
        <w:rPr>
          <w:rFonts w:ascii="Poppins" w:hAnsi="Poppins" w:cs="Poppins"/>
        </w:rPr>
        <w:t>: CNSC must revisit the entire approval process</w:t>
      </w:r>
    </w:p>
    <w:p w14:paraId="023A10D1" w14:textId="77777777" w:rsidR="00CE38E9" w:rsidRPr="00B964B5" w:rsidRDefault="00000000">
      <w:pPr>
        <w:pStyle w:val="Compact"/>
        <w:numPr>
          <w:ilvl w:val="0"/>
          <w:numId w:val="5"/>
        </w:numPr>
        <w:rPr>
          <w:rFonts w:ascii="Poppins" w:hAnsi="Poppins" w:cs="Poppins"/>
        </w:rPr>
      </w:pPr>
      <w:r w:rsidRPr="00B964B5">
        <w:rPr>
          <w:rFonts w:ascii="Poppins" w:hAnsi="Poppins" w:cs="Poppins"/>
          <w:b/>
          <w:bCs/>
        </w:rPr>
        <w:t>UNDRIP Integration</w:t>
      </w:r>
      <w:r w:rsidRPr="00B964B5">
        <w:rPr>
          <w:rFonts w:ascii="Poppins" w:hAnsi="Poppins" w:cs="Poppins"/>
        </w:rPr>
        <w:t>: Mandatory application of UNDRIP and UNDA frameworks</w:t>
      </w:r>
    </w:p>
    <w:p w14:paraId="08A3D46F" w14:textId="77777777" w:rsidR="00CE38E9" w:rsidRPr="00B964B5" w:rsidRDefault="00000000">
      <w:pPr>
        <w:pStyle w:val="Compact"/>
        <w:numPr>
          <w:ilvl w:val="0"/>
          <w:numId w:val="5"/>
        </w:numPr>
        <w:rPr>
          <w:rFonts w:ascii="Poppins" w:hAnsi="Poppins" w:cs="Poppins"/>
        </w:rPr>
      </w:pPr>
      <w:r w:rsidRPr="00B964B5">
        <w:rPr>
          <w:rFonts w:ascii="Poppins" w:hAnsi="Poppins" w:cs="Poppins"/>
          <w:b/>
          <w:bCs/>
        </w:rPr>
        <w:t>Renewed Consultation</w:t>
      </w:r>
      <w:r w:rsidRPr="00B964B5">
        <w:rPr>
          <w:rFonts w:ascii="Poppins" w:hAnsi="Poppins" w:cs="Poppins"/>
        </w:rPr>
        <w:t>: CNL and CNSC must resume consultation with Kebaowek First Nation</w:t>
      </w:r>
    </w:p>
    <w:p w14:paraId="10195AC6" w14:textId="77777777" w:rsidR="00CE38E9" w:rsidRPr="00B964B5" w:rsidRDefault="00000000">
      <w:pPr>
        <w:pStyle w:val="Compact"/>
        <w:numPr>
          <w:ilvl w:val="0"/>
          <w:numId w:val="5"/>
        </w:numPr>
        <w:rPr>
          <w:rFonts w:ascii="Poppins" w:hAnsi="Poppins" w:cs="Poppins"/>
        </w:rPr>
      </w:pPr>
      <w:r w:rsidRPr="00B964B5">
        <w:rPr>
          <w:rFonts w:ascii="Poppins" w:hAnsi="Poppins" w:cs="Poppins"/>
          <w:b/>
          <w:bCs/>
        </w:rPr>
        <w:t>Traditional Law Recognition</w:t>
      </w:r>
      <w:r w:rsidRPr="00B964B5">
        <w:rPr>
          <w:rFonts w:ascii="Poppins" w:hAnsi="Poppins" w:cs="Poppins"/>
        </w:rPr>
        <w:t>: Integration of Indigenous laws, knowledge, and practices</w:t>
      </w:r>
    </w:p>
    <w:p w14:paraId="37BC0F7A" w14:textId="77777777" w:rsidR="00CE38E9" w:rsidRPr="00B964B5" w:rsidRDefault="00000000">
      <w:pPr>
        <w:pStyle w:val="Compact"/>
        <w:numPr>
          <w:ilvl w:val="0"/>
          <w:numId w:val="5"/>
        </w:numPr>
        <w:rPr>
          <w:rFonts w:ascii="Poppins" w:hAnsi="Poppins" w:cs="Poppins"/>
        </w:rPr>
      </w:pPr>
      <w:r w:rsidRPr="00B964B5">
        <w:rPr>
          <w:rFonts w:ascii="Poppins" w:hAnsi="Poppins" w:cs="Poppins"/>
          <w:b/>
          <w:bCs/>
        </w:rPr>
        <w:t>Target Completion</w:t>
      </w:r>
      <w:r w:rsidRPr="00B964B5">
        <w:rPr>
          <w:rFonts w:ascii="Poppins" w:hAnsi="Poppins" w:cs="Poppins"/>
        </w:rPr>
        <w:t>: September 30, 2026 deadline for renewed consultation process</w:t>
      </w:r>
    </w:p>
    <w:p w14:paraId="44AA8FC9" w14:textId="77777777" w:rsidR="00CE38E9" w:rsidRPr="00B964B5" w:rsidRDefault="00000000">
      <w:pPr>
        <w:pStyle w:val="BlockText"/>
        <w:rPr>
          <w:rFonts w:ascii="Poppins" w:hAnsi="Poppins" w:cs="Poppins"/>
        </w:rPr>
      </w:pPr>
      <w:r w:rsidRPr="00B964B5">
        <w:rPr>
          <w:rFonts w:ascii="Poppins" w:hAnsi="Poppins" w:cs="Poppins"/>
          <w:b/>
          <w:bCs/>
        </w:rPr>
        <w:lastRenderedPageBreak/>
        <w:t>Critical Legal Precedent</w:t>
      </w:r>
      <w:r w:rsidRPr="00B964B5">
        <w:rPr>
          <w:rFonts w:ascii="Poppins" w:hAnsi="Poppins" w:cs="Poppins"/>
        </w:rPr>
        <w:t>: This ruling represents the first major application of UNDRIP in Canada's nuclear sector and establishes binding precedent for Indigenous consultation across all federal regulatory processes.</w:t>
      </w:r>
    </w:p>
    <w:p w14:paraId="5E3D0971" w14:textId="77777777" w:rsidR="00CE38E9" w:rsidRPr="00143FA8" w:rsidRDefault="00000000">
      <w:pPr>
        <w:pStyle w:val="Heading1"/>
        <w:rPr>
          <w:rFonts w:ascii="Prata" w:hAnsi="Prata"/>
          <w:color w:val="948A54" w:themeColor="background2" w:themeShade="80"/>
        </w:rPr>
      </w:pPr>
      <w:bookmarkStart w:id="11" w:name="consultation-failure-analysis"/>
      <w:bookmarkEnd w:id="8"/>
      <w:bookmarkEnd w:id="10"/>
      <w:r w:rsidRPr="00143FA8">
        <w:rPr>
          <w:rFonts w:ascii="Prata" w:hAnsi="Prata"/>
          <w:color w:val="948A54" w:themeColor="background2" w:themeShade="80"/>
        </w:rPr>
        <w:t>Consultation Failure Analysis</w:t>
      </w:r>
    </w:p>
    <w:p w14:paraId="66A01861" w14:textId="30866320" w:rsidR="00CE38E9" w:rsidRPr="00143FA8" w:rsidRDefault="00000000">
      <w:pPr>
        <w:pStyle w:val="Heading2"/>
        <w:rPr>
          <w:rFonts w:ascii="Prata" w:hAnsi="Prata"/>
          <w:color w:val="948A54" w:themeColor="background2" w:themeShade="80"/>
        </w:rPr>
      </w:pPr>
      <w:bookmarkStart w:id="12" w:name="systemic-consultation-deficiencies"/>
      <w:r w:rsidRPr="00143FA8">
        <w:rPr>
          <w:rFonts w:ascii="Prata" w:hAnsi="Prata"/>
          <w:color w:val="948A54" w:themeColor="background2" w:themeShade="80"/>
        </w:rPr>
        <w:t>Systemic Consultation Deficiencies</w:t>
      </w:r>
      <w:r w:rsidR="00143FA8">
        <w:rPr>
          <w:rFonts w:ascii="Prata" w:hAnsi="Prata"/>
          <w:color w:val="948A54" w:themeColor="background2" w:themeShade="80"/>
        </w:rPr>
        <w:t xml:space="preserve"> (mostly applicable to Federal projects)</w:t>
      </w:r>
    </w:p>
    <w:p w14:paraId="26D42365" w14:textId="34B5BB59" w:rsidR="00CE38E9" w:rsidRPr="00143FA8" w:rsidRDefault="00000000">
      <w:pPr>
        <w:pStyle w:val="FirstParagraph"/>
        <w:rPr>
          <w:rFonts w:ascii="Poppins" w:hAnsi="Poppins" w:cs="Poppins"/>
        </w:rPr>
      </w:pPr>
      <w:r w:rsidRPr="00143FA8">
        <w:rPr>
          <w:rFonts w:ascii="Poppins" w:hAnsi="Poppins" w:cs="Poppins"/>
        </w:rPr>
        <w:t>The CNL case reveals multiple layers of consultation failure</w:t>
      </w:r>
      <w:r w:rsidR="00143FA8">
        <w:rPr>
          <w:rFonts w:ascii="Poppins" w:hAnsi="Poppins" w:cs="Poppins"/>
        </w:rPr>
        <w:t>:</w:t>
      </w:r>
    </w:p>
    <w:p w14:paraId="335EB195" w14:textId="605245D4" w:rsidR="00CE38E9" w:rsidRPr="00143FA8" w:rsidRDefault="00000000">
      <w:pPr>
        <w:pStyle w:val="BodyText"/>
        <w:rPr>
          <w:rFonts w:ascii="Poppins" w:hAnsi="Poppins" w:cs="Poppins"/>
        </w:rPr>
      </w:pPr>
      <w:r w:rsidRPr="00143FA8">
        <w:rPr>
          <w:rFonts w:ascii="Poppins" w:hAnsi="Poppins" w:cs="Poppins"/>
          <w:b/>
          <w:bCs/>
        </w:rPr>
        <w:t>1. Legal Framework Ignorance</w:t>
      </w:r>
      <w:r w:rsidR="00143FA8">
        <w:rPr>
          <w:rFonts w:ascii="Poppins" w:hAnsi="Poppins" w:cs="Poppins"/>
          <w:b/>
          <w:bCs/>
        </w:rPr>
        <w:t xml:space="preserve"> (for projects that fall under Federal juris</w:t>
      </w:r>
      <w:r w:rsidR="005E185E">
        <w:rPr>
          <w:rFonts w:ascii="Poppins" w:hAnsi="Poppins" w:cs="Poppins"/>
          <w:b/>
          <w:bCs/>
        </w:rPr>
        <w:t>dic</w:t>
      </w:r>
      <w:r w:rsidR="00143FA8">
        <w:rPr>
          <w:rFonts w:ascii="Poppins" w:hAnsi="Poppins" w:cs="Poppins"/>
          <w:b/>
          <w:bCs/>
        </w:rPr>
        <w:t>tion)</w:t>
      </w:r>
    </w:p>
    <w:p w14:paraId="52CF7D71" w14:textId="2B59DC08" w:rsidR="00CE38E9" w:rsidRPr="00143FA8" w:rsidRDefault="00000000">
      <w:pPr>
        <w:pStyle w:val="Compact"/>
        <w:numPr>
          <w:ilvl w:val="0"/>
          <w:numId w:val="6"/>
        </w:numPr>
        <w:rPr>
          <w:rFonts w:ascii="Poppins" w:hAnsi="Poppins" w:cs="Poppins"/>
        </w:rPr>
      </w:pPr>
      <w:r w:rsidRPr="00143FA8">
        <w:rPr>
          <w:rFonts w:ascii="Poppins" w:hAnsi="Poppins" w:cs="Poppins"/>
        </w:rPr>
        <w:t>Failure to recognize UNDRIP as applicable law</w:t>
      </w:r>
      <w:r w:rsidR="00143FA8">
        <w:rPr>
          <w:rFonts w:ascii="Poppins" w:hAnsi="Poppins" w:cs="Poppins"/>
        </w:rPr>
        <w:t xml:space="preserve"> </w:t>
      </w:r>
    </w:p>
    <w:p w14:paraId="7D0C297F" w14:textId="77777777" w:rsidR="00CE38E9" w:rsidRPr="00143FA8" w:rsidRDefault="00000000">
      <w:pPr>
        <w:pStyle w:val="Compact"/>
        <w:numPr>
          <w:ilvl w:val="0"/>
          <w:numId w:val="6"/>
        </w:numPr>
        <w:rPr>
          <w:rFonts w:ascii="Poppins" w:hAnsi="Poppins" w:cs="Poppins"/>
        </w:rPr>
      </w:pPr>
      <w:r w:rsidRPr="00143FA8">
        <w:rPr>
          <w:rFonts w:ascii="Poppins" w:hAnsi="Poppins" w:cs="Poppins"/>
        </w:rPr>
        <w:t>Dismissal of Indigenous legal frameworks and governance structures</w:t>
      </w:r>
    </w:p>
    <w:p w14:paraId="56A0D7FC" w14:textId="77777777" w:rsidR="00CE38E9" w:rsidRPr="00143FA8" w:rsidRDefault="00000000">
      <w:pPr>
        <w:pStyle w:val="Compact"/>
        <w:numPr>
          <w:ilvl w:val="0"/>
          <w:numId w:val="6"/>
        </w:numPr>
        <w:rPr>
          <w:rFonts w:ascii="Poppins" w:hAnsi="Poppins" w:cs="Poppins"/>
        </w:rPr>
      </w:pPr>
      <w:r w:rsidRPr="00143FA8">
        <w:rPr>
          <w:rFonts w:ascii="Poppins" w:hAnsi="Poppins" w:cs="Poppins"/>
        </w:rPr>
        <w:t>Inadequate understanding of FPIC requirements</w:t>
      </w:r>
    </w:p>
    <w:p w14:paraId="738AB948" w14:textId="77777777" w:rsidR="00CE38E9" w:rsidRPr="00143FA8" w:rsidRDefault="00000000">
      <w:pPr>
        <w:pStyle w:val="FirstParagraph"/>
        <w:rPr>
          <w:rFonts w:ascii="Poppins" w:hAnsi="Poppins" w:cs="Poppins"/>
        </w:rPr>
      </w:pPr>
      <w:r w:rsidRPr="00143FA8">
        <w:rPr>
          <w:rFonts w:ascii="Poppins" w:hAnsi="Poppins" w:cs="Poppins"/>
          <w:b/>
          <w:bCs/>
        </w:rPr>
        <w:t>2. Procedural vs. Meaningful Consultation</w:t>
      </w:r>
    </w:p>
    <w:p w14:paraId="2BF2FE16" w14:textId="77777777" w:rsidR="00CE38E9" w:rsidRPr="00143FA8" w:rsidRDefault="00000000">
      <w:pPr>
        <w:pStyle w:val="Compact"/>
        <w:numPr>
          <w:ilvl w:val="0"/>
          <w:numId w:val="7"/>
        </w:numPr>
        <w:rPr>
          <w:rFonts w:ascii="Poppins" w:hAnsi="Poppins" w:cs="Poppins"/>
        </w:rPr>
      </w:pPr>
      <w:r w:rsidRPr="00143FA8">
        <w:rPr>
          <w:rFonts w:ascii="Poppins" w:hAnsi="Poppins" w:cs="Poppins"/>
        </w:rPr>
        <w:t>Treatment of consultation as regulatory compliance exercise</w:t>
      </w:r>
    </w:p>
    <w:p w14:paraId="240A6072" w14:textId="77777777" w:rsidR="00CE38E9" w:rsidRPr="00143FA8" w:rsidRDefault="00000000">
      <w:pPr>
        <w:pStyle w:val="Compact"/>
        <w:numPr>
          <w:ilvl w:val="0"/>
          <w:numId w:val="7"/>
        </w:numPr>
        <w:rPr>
          <w:rFonts w:ascii="Poppins" w:hAnsi="Poppins" w:cs="Poppins"/>
        </w:rPr>
      </w:pPr>
      <w:r w:rsidRPr="00143FA8">
        <w:rPr>
          <w:rFonts w:ascii="Poppins" w:hAnsi="Poppins" w:cs="Poppins"/>
        </w:rPr>
        <w:t>Lack of genuine engagement with Indigenous decision-making processes</w:t>
      </w:r>
    </w:p>
    <w:p w14:paraId="3D22AFB5" w14:textId="77777777" w:rsidR="00CE38E9" w:rsidRPr="00143FA8" w:rsidRDefault="00000000">
      <w:pPr>
        <w:pStyle w:val="Compact"/>
        <w:numPr>
          <w:ilvl w:val="0"/>
          <w:numId w:val="7"/>
        </w:numPr>
        <w:rPr>
          <w:rFonts w:ascii="Poppins" w:hAnsi="Poppins" w:cs="Poppins"/>
        </w:rPr>
      </w:pPr>
      <w:r w:rsidRPr="00143FA8">
        <w:rPr>
          <w:rFonts w:ascii="Poppins" w:hAnsi="Poppins" w:cs="Poppins"/>
        </w:rPr>
        <w:t>Failure to seek meaningful agreement or consent</w:t>
      </w:r>
    </w:p>
    <w:p w14:paraId="76BB98BA" w14:textId="77777777" w:rsidR="00CE38E9" w:rsidRPr="00143FA8" w:rsidRDefault="00000000">
      <w:pPr>
        <w:pStyle w:val="FirstParagraph"/>
        <w:rPr>
          <w:rFonts w:ascii="Poppins" w:hAnsi="Poppins" w:cs="Poppins"/>
        </w:rPr>
      </w:pPr>
      <w:r w:rsidRPr="00143FA8">
        <w:rPr>
          <w:rFonts w:ascii="Poppins" w:hAnsi="Poppins" w:cs="Poppins"/>
          <w:b/>
          <w:bCs/>
        </w:rPr>
        <w:t>3. Cultural Competency Gaps</w:t>
      </w:r>
    </w:p>
    <w:p w14:paraId="15DF1FF1" w14:textId="77777777" w:rsidR="00CE38E9" w:rsidRPr="00143FA8" w:rsidRDefault="00000000">
      <w:pPr>
        <w:pStyle w:val="Compact"/>
        <w:numPr>
          <w:ilvl w:val="0"/>
          <w:numId w:val="8"/>
        </w:numPr>
        <w:rPr>
          <w:rFonts w:ascii="Poppins" w:hAnsi="Poppins" w:cs="Poppins"/>
        </w:rPr>
      </w:pPr>
      <w:r w:rsidRPr="00143FA8">
        <w:rPr>
          <w:rFonts w:ascii="Poppins" w:hAnsi="Poppins" w:cs="Poppins"/>
        </w:rPr>
        <w:t>Insufficient understanding of Indigenous worldviews and protocols</w:t>
      </w:r>
    </w:p>
    <w:p w14:paraId="2BD92A82" w14:textId="77777777" w:rsidR="00CE38E9" w:rsidRPr="00143FA8" w:rsidRDefault="00000000">
      <w:pPr>
        <w:pStyle w:val="Compact"/>
        <w:numPr>
          <w:ilvl w:val="0"/>
          <w:numId w:val="8"/>
        </w:numPr>
        <w:rPr>
          <w:rFonts w:ascii="Poppins" w:hAnsi="Poppins" w:cs="Poppins"/>
        </w:rPr>
      </w:pPr>
      <w:r w:rsidRPr="00143FA8">
        <w:rPr>
          <w:rFonts w:ascii="Poppins" w:hAnsi="Poppins" w:cs="Poppins"/>
        </w:rPr>
        <w:t>Inadequate integration of traditional knowledge and practices</w:t>
      </w:r>
    </w:p>
    <w:p w14:paraId="45407B6B" w14:textId="77777777" w:rsidR="00CE38E9" w:rsidRPr="00143FA8" w:rsidRDefault="00000000">
      <w:pPr>
        <w:pStyle w:val="Compact"/>
        <w:numPr>
          <w:ilvl w:val="0"/>
          <w:numId w:val="8"/>
        </w:numPr>
        <w:rPr>
          <w:rFonts w:ascii="Poppins" w:hAnsi="Poppins" w:cs="Poppins"/>
        </w:rPr>
      </w:pPr>
      <w:r w:rsidRPr="00143FA8">
        <w:rPr>
          <w:rFonts w:ascii="Poppins" w:hAnsi="Poppins" w:cs="Poppins"/>
        </w:rPr>
        <w:t>Failure to respect Indigenous governance structures</w:t>
      </w:r>
    </w:p>
    <w:p w14:paraId="55CB8891" w14:textId="77777777" w:rsidR="00CE38E9" w:rsidRPr="00143FA8" w:rsidRDefault="00000000">
      <w:pPr>
        <w:pStyle w:val="Heading2"/>
        <w:rPr>
          <w:rFonts w:ascii="Prata" w:hAnsi="Prata"/>
          <w:color w:val="948A54" w:themeColor="background2" w:themeShade="80"/>
        </w:rPr>
      </w:pPr>
      <w:bookmarkStart w:id="13" w:name="industry-wide-implications"/>
      <w:bookmarkEnd w:id="12"/>
      <w:r w:rsidRPr="00143FA8">
        <w:rPr>
          <w:rFonts w:ascii="Prata" w:hAnsi="Prata"/>
          <w:color w:val="948A54" w:themeColor="background2" w:themeShade="80"/>
        </w:rPr>
        <w:t>Industry-Wide Implications</w:t>
      </w:r>
    </w:p>
    <w:p w14:paraId="7C431490" w14:textId="23A45F25" w:rsidR="00CE38E9" w:rsidRPr="00143FA8" w:rsidRDefault="00000000">
      <w:pPr>
        <w:pStyle w:val="FirstParagraph"/>
        <w:rPr>
          <w:rFonts w:ascii="Poppins" w:hAnsi="Poppins" w:cs="Poppins"/>
        </w:rPr>
      </w:pPr>
      <w:r w:rsidRPr="00143FA8">
        <w:rPr>
          <w:rFonts w:ascii="Poppins" w:hAnsi="Poppins" w:cs="Poppins"/>
        </w:rPr>
        <w:t>The CNL ruling has profound implications for</w:t>
      </w:r>
      <w:r w:rsidR="00D81330">
        <w:rPr>
          <w:rFonts w:ascii="Poppins" w:hAnsi="Poppins" w:cs="Poppins"/>
        </w:rPr>
        <w:t xml:space="preserve"> Federal</w:t>
      </w:r>
      <w:r w:rsidRPr="00143FA8">
        <w:rPr>
          <w:rFonts w:ascii="Poppins" w:hAnsi="Poppins" w:cs="Poppins"/>
        </w:rPr>
        <w:t xml:space="preserve"> resource development projects</w:t>
      </w:r>
      <w:r w:rsidR="00D81330">
        <w:rPr>
          <w:rFonts w:ascii="Poppins" w:hAnsi="Poppins" w:cs="Poppins"/>
        </w:rPr>
        <w:t xml:space="preserve"> </w:t>
      </w:r>
      <w:r w:rsidRPr="00143FA8">
        <w:rPr>
          <w:rFonts w:ascii="Poppins" w:hAnsi="Poppins" w:cs="Poppins"/>
        </w:rPr>
        <w:t>in Indigenous territories:</w:t>
      </w:r>
    </w:p>
    <w:p w14:paraId="3478DC1D" w14:textId="743BF287" w:rsidR="00CE38E9" w:rsidRPr="00143FA8" w:rsidRDefault="00143FA8">
      <w:pPr>
        <w:pStyle w:val="BodyText"/>
        <w:rPr>
          <w:rFonts w:ascii="Poppins" w:hAnsi="Poppins" w:cs="Poppins"/>
        </w:rPr>
      </w:pPr>
      <w:r>
        <w:rPr>
          <w:rFonts w:ascii="Poppins" w:hAnsi="Poppins" w:cs="Poppins"/>
          <w:b/>
          <w:bCs/>
        </w:rPr>
        <w:t xml:space="preserve">Federal </w:t>
      </w:r>
      <w:r w:rsidRPr="00143FA8">
        <w:rPr>
          <w:rFonts w:ascii="Poppins" w:hAnsi="Poppins" w:cs="Poppins"/>
          <w:b/>
          <w:bCs/>
        </w:rPr>
        <w:t>Regulatory Compliance Evolution</w:t>
      </w:r>
    </w:p>
    <w:p w14:paraId="1BA10B7F" w14:textId="77777777" w:rsidR="00CE38E9" w:rsidRPr="00143FA8" w:rsidRDefault="00000000">
      <w:pPr>
        <w:pStyle w:val="Compact"/>
        <w:numPr>
          <w:ilvl w:val="0"/>
          <w:numId w:val="9"/>
        </w:numPr>
        <w:rPr>
          <w:rFonts w:ascii="Poppins" w:hAnsi="Poppins" w:cs="Poppins"/>
        </w:rPr>
      </w:pPr>
      <w:r w:rsidRPr="00143FA8">
        <w:rPr>
          <w:rFonts w:ascii="Poppins" w:hAnsi="Poppins" w:cs="Poppins"/>
        </w:rPr>
        <w:t>Federal regulators must now actively apply UNDRIP principles</w:t>
      </w:r>
    </w:p>
    <w:p w14:paraId="0C42BB24" w14:textId="77777777" w:rsidR="00CE38E9" w:rsidRPr="00143FA8" w:rsidRDefault="00000000">
      <w:pPr>
        <w:pStyle w:val="Compact"/>
        <w:numPr>
          <w:ilvl w:val="0"/>
          <w:numId w:val="9"/>
        </w:numPr>
        <w:rPr>
          <w:rFonts w:ascii="Poppins" w:hAnsi="Poppins" w:cs="Poppins"/>
        </w:rPr>
      </w:pPr>
      <w:r w:rsidRPr="00143FA8">
        <w:rPr>
          <w:rFonts w:ascii="Poppins" w:hAnsi="Poppins" w:cs="Poppins"/>
        </w:rPr>
        <w:lastRenderedPageBreak/>
        <w:t>Consultation standards have been significantly elevated</w:t>
      </w:r>
    </w:p>
    <w:p w14:paraId="771209CC" w14:textId="77777777" w:rsidR="00CE38E9" w:rsidRPr="00143FA8" w:rsidRDefault="00000000">
      <w:pPr>
        <w:pStyle w:val="Compact"/>
        <w:numPr>
          <w:ilvl w:val="0"/>
          <w:numId w:val="9"/>
        </w:numPr>
        <w:rPr>
          <w:rFonts w:ascii="Poppins" w:hAnsi="Poppins" w:cs="Poppins"/>
        </w:rPr>
      </w:pPr>
      <w:r w:rsidRPr="00143FA8">
        <w:rPr>
          <w:rFonts w:ascii="Poppins" w:hAnsi="Poppins" w:cs="Poppins"/>
        </w:rPr>
        <w:t>Traditional regulatory approaches are no longer sufficient</w:t>
      </w:r>
    </w:p>
    <w:p w14:paraId="0A0EE062" w14:textId="77777777" w:rsidR="00CE38E9" w:rsidRPr="00143FA8" w:rsidRDefault="00000000">
      <w:pPr>
        <w:pStyle w:val="FirstParagraph"/>
        <w:rPr>
          <w:rFonts w:ascii="Poppins" w:hAnsi="Poppins" w:cs="Poppins"/>
        </w:rPr>
      </w:pPr>
      <w:r w:rsidRPr="00143FA8">
        <w:rPr>
          <w:rFonts w:ascii="Poppins" w:hAnsi="Poppins" w:cs="Poppins"/>
          <w:b/>
          <w:bCs/>
        </w:rPr>
        <w:t>Corporate Engagement Requirements</w:t>
      </w:r>
    </w:p>
    <w:p w14:paraId="77C2BA15" w14:textId="77777777" w:rsidR="00CE38E9" w:rsidRPr="00143FA8" w:rsidRDefault="00000000">
      <w:pPr>
        <w:pStyle w:val="Compact"/>
        <w:numPr>
          <w:ilvl w:val="0"/>
          <w:numId w:val="10"/>
        </w:numPr>
        <w:rPr>
          <w:rFonts w:ascii="Poppins" w:hAnsi="Poppins" w:cs="Poppins"/>
        </w:rPr>
      </w:pPr>
      <w:r w:rsidRPr="00143FA8">
        <w:rPr>
          <w:rFonts w:ascii="Poppins" w:hAnsi="Poppins" w:cs="Poppins"/>
        </w:rPr>
        <w:t>Companies must engage with Indigenous legal frameworks</w:t>
      </w:r>
    </w:p>
    <w:p w14:paraId="0469B776" w14:textId="77777777" w:rsidR="00CE38E9" w:rsidRPr="00143FA8" w:rsidRDefault="00000000">
      <w:pPr>
        <w:pStyle w:val="Compact"/>
        <w:numPr>
          <w:ilvl w:val="0"/>
          <w:numId w:val="10"/>
        </w:numPr>
        <w:rPr>
          <w:rFonts w:ascii="Poppins" w:hAnsi="Poppins" w:cs="Poppins"/>
        </w:rPr>
      </w:pPr>
      <w:r w:rsidRPr="00143FA8">
        <w:rPr>
          <w:rFonts w:ascii="Poppins" w:hAnsi="Poppins" w:cs="Poppins"/>
        </w:rPr>
        <w:t>Meaningful consent, not just consultation, is increasingly required</w:t>
      </w:r>
    </w:p>
    <w:p w14:paraId="66AFD8D8" w14:textId="77777777" w:rsidR="00CE38E9" w:rsidRPr="00143FA8" w:rsidRDefault="00000000">
      <w:pPr>
        <w:pStyle w:val="Compact"/>
        <w:numPr>
          <w:ilvl w:val="0"/>
          <w:numId w:val="10"/>
        </w:numPr>
        <w:rPr>
          <w:rFonts w:ascii="Poppins" w:hAnsi="Poppins" w:cs="Poppins"/>
        </w:rPr>
      </w:pPr>
      <w:r w:rsidRPr="00143FA8">
        <w:rPr>
          <w:rFonts w:ascii="Poppins" w:hAnsi="Poppins" w:cs="Poppins"/>
        </w:rPr>
        <w:t>Cultural competency is now a legal necessity, not just best practice</w:t>
      </w:r>
    </w:p>
    <w:p w14:paraId="507A7D87" w14:textId="042AC7B0" w:rsidR="00CE38E9" w:rsidRPr="00143FA8" w:rsidRDefault="00000000">
      <w:pPr>
        <w:pStyle w:val="Heading1"/>
        <w:rPr>
          <w:rFonts w:ascii="Prata" w:hAnsi="Prata"/>
          <w:color w:val="948A54" w:themeColor="background2" w:themeShade="80"/>
        </w:rPr>
      </w:pPr>
      <w:bookmarkStart w:id="14" w:name="lessons-for-northwestern-ontario-mining"/>
      <w:bookmarkEnd w:id="11"/>
      <w:bookmarkEnd w:id="13"/>
      <w:r w:rsidRPr="00143FA8">
        <w:rPr>
          <w:rFonts w:ascii="Prata" w:hAnsi="Prata"/>
          <w:color w:val="948A54" w:themeColor="background2" w:themeShade="80"/>
        </w:rPr>
        <w:t xml:space="preserve">Lessons for </w:t>
      </w:r>
      <w:r w:rsidR="00143FA8">
        <w:rPr>
          <w:rFonts w:ascii="Prata" w:hAnsi="Prata"/>
          <w:color w:val="948A54" w:themeColor="background2" w:themeShade="80"/>
        </w:rPr>
        <w:t>Canadian Nuclear Laboratories</w:t>
      </w:r>
    </w:p>
    <w:p w14:paraId="062E8229" w14:textId="297F981A" w:rsidR="00CE38E9" w:rsidRPr="00143FA8" w:rsidRDefault="00000000">
      <w:pPr>
        <w:pStyle w:val="Heading2"/>
        <w:rPr>
          <w:rFonts w:ascii="Prata" w:hAnsi="Prata"/>
          <w:color w:val="948A54" w:themeColor="background2" w:themeShade="80"/>
        </w:rPr>
      </w:pPr>
      <w:bookmarkStart w:id="15" w:name="direct-applications-for-nwopa-members"/>
      <w:r w:rsidRPr="00143FA8">
        <w:rPr>
          <w:rFonts w:ascii="Prata" w:hAnsi="Prata"/>
          <w:color w:val="948A54" w:themeColor="background2" w:themeShade="80"/>
        </w:rPr>
        <w:t xml:space="preserve">Direct Applications </w:t>
      </w:r>
    </w:p>
    <w:p w14:paraId="41440868" w14:textId="501BFA09" w:rsidR="00CE38E9" w:rsidRPr="00153BE6" w:rsidRDefault="00000000">
      <w:pPr>
        <w:pStyle w:val="FirstParagraph"/>
        <w:rPr>
          <w:rFonts w:ascii="Poppins" w:hAnsi="Poppins" w:cs="Poppins"/>
        </w:rPr>
      </w:pPr>
      <w:r w:rsidRPr="00153BE6">
        <w:rPr>
          <w:rFonts w:ascii="Poppins" w:hAnsi="Poppins" w:cs="Poppins"/>
        </w:rPr>
        <w:t xml:space="preserve">The CNL case provides critical lessons for </w:t>
      </w:r>
      <w:r w:rsidR="00153BE6">
        <w:rPr>
          <w:rFonts w:ascii="Poppins" w:hAnsi="Poppins" w:cs="Poppins"/>
        </w:rPr>
        <w:t>projects that fall under Federal jurisdiction for approvals</w:t>
      </w:r>
      <w:r w:rsidRPr="00153BE6">
        <w:rPr>
          <w:rFonts w:ascii="Poppins" w:hAnsi="Poppins" w:cs="Poppins"/>
        </w:rPr>
        <w:t>:</w:t>
      </w:r>
    </w:p>
    <w:p w14:paraId="6A034962" w14:textId="5E59BAB4" w:rsidR="00CE38E9" w:rsidRPr="00153BE6" w:rsidRDefault="00000000">
      <w:pPr>
        <w:pStyle w:val="BodyText"/>
        <w:rPr>
          <w:rFonts w:ascii="Poppins" w:hAnsi="Poppins" w:cs="Poppins"/>
        </w:rPr>
      </w:pPr>
      <w:r w:rsidRPr="00153BE6">
        <w:rPr>
          <w:rFonts w:ascii="Poppins" w:hAnsi="Poppins" w:cs="Poppins"/>
          <w:b/>
          <w:bCs/>
        </w:rPr>
        <w:t>1. Early UNDRIP Integration</w:t>
      </w:r>
      <w:r w:rsidRPr="00153BE6">
        <w:rPr>
          <w:rFonts w:ascii="Poppins" w:hAnsi="Poppins" w:cs="Poppins"/>
        </w:rPr>
        <w:t xml:space="preserve"> </w:t>
      </w:r>
      <w:r w:rsidR="00153BE6">
        <w:rPr>
          <w:rFonts w:ascii="Poppins" w:hAnsi="Poppins" w:cs="Poppins"/>
        </w:rPr>
        <w:t>Companies such as CNL</w:t>
      </w:r>
      <w:r w:rsidRPr="00153BE6">
        <w:rPr>
          <w:rFonts w:ascii="Poppins" w:hAnsi="Poppins" w:cs="Poppins"/>
        </w:rPr>
        <w:t xml:space="preserve"> must proactively integrate UNDRIP principles from project inception, not as an afterthought during regulatory review.</w:t>
      </w:r>
    </w:p>
    <w:p w14:paraId="1B231902" w14:textId="77777777" w:rsidR="00CE38E9" w:rsidRPr="00153BE6" w:rsidRDefault="00000000">
      <w:pPr>
        <w:pStyle w:val="BodyText"/>
        <w:rPr>
          <w:rFonts w:ascii="Poppins" w:hAnsi="Poppins" w:cs="Poppins"/>
        </w:rPr>
      </w:pPr>
      <w:r w:rsidRPr="00153BE6">
        <w:rPr>
          <w:rFonts w:ascii="Poppins" w:hAnsi="Poppins" w:cs="Poppins"/>
          <w:b/>
          <w:bCs/>
        </w:rPr>
        <w:t xml:space="preserve">2. </w:t>
      </w:r>
      <w:r w:rsidRPr="00310FC1">
        <w:rPr>
          <w:rFonts w:ascii="Poppins" w:hAnsi="Poppins" w:cs="Poppins"/>
          <w:b/>
          <w:bCs/>
        </w:rPr>
        <w:t>Traditional Law Recognition</w:t>
      </w:r>
      <w:r w:rsidRPr="00310FC1">
        <w:rPr>
          <w:rFonts w:ascii="Poppins" w:hAnsi="Poppins" w:cs="Poppins"/>
        </w:rPr>
        <w:t xml:space="preserve"> Engagement strategies must acknowledge and respect Indigenous legal frameworks, governance structures, and decision-making processes.</w:t>
      </w:r>
    </w:p>
    <w:p w14:paraId="2C83247D" w14:textId="77777777" w:rsidR="00CE38E9" w:rsidRPr="00153BE6" w:rsidRDefault="00000000">
      <w:pPr>
        <w:pStyle w:val="BodyText"/>
        <w:rPr>
          <w:rFonts w:ascii="Poppins" w:hAnsi="Poppins" w:cs="Poppins"/>
        </w:rPr>
      </w:pPr>
      <w:r w:rsidRPr="00153BE6">
        <w:rPr>
          <w:rFonts w:ascii="Poppins" w:hAnsi="Poppins" w:cs="Poppins"/>
          <w:b/>
          <w:bCs/>
        </w:rPr>
        <w:t>3. Meaningful Consent Focus</w:t>
      </w:r>
      <w:r w:rsidRPr="00153BE6">
        <w:rPr>
          <w:rFonts w:ascii="Poppins" w:hAnsi="Poppins" w:cs="Poppins"/>
        </w:rPr>
        <w:t xml:space="preserve"> Moving beyond procedural consultation toward genuine partnership and consent-seeking approaches.</w:t>
      </w:r>
    </w:p>
    <w:p w14:paraId="3E1BA32E" w14:textId="77777777" w:rsidR="00CE38E9" w:rsidRPr="00153BE6" w:rsidRDefault="00000000">
      <w:pPr>
        <w:pStyle w:val="BodyText"/>
        <w:rPr>
          <w:rFonts w:ascii="Poppins" w:hAnsi="Poppins" w:cs="Poppins"/>
        </w:rPr>
      </w:pPr>
      <w:r w:rsidRPr="00153BE6">
        <w:rPr>
          <w:rFonts w:ascii="Poppins" w:hAnsi="Poppins" w:cs="Poppins"/>
          <w:b/>
          <w:bCs/>
        </w:rPr>
        <w:t>4. Cultural Competency Investment</w:t>
      </w:r>
      <w:r w:rsidRPr="00153BE6">
        <w:rPr>
          <w:rFonts w:ascii="Poppins" w:hAnsi="Poppins" w:cs="Poppins"/>
        </w:rPr>
        <w:t xml:space="preserve"> Professional development in Indigenous relations is now a legal and business necessity.</w:t>
      </w:r>
    </w:p>
    <w:p w14:paraId="454FF866" w14:textId="77777777" w:rsidR="00CE38E9" w:rsidRPr="00153BE6" w:rsidRDefault="00000000">
      <w:pPr>
        <w:pStyle w:val="Heading2"/>
        <w:rPr>
          <w:rFonts w:ascii="Prata" w:hAnsi="Prata"/>
          <w:color w:val="948A54" w:themeColor="background2" w:themeShade="80"/>
        </w:rPr>
      </w:pPr>
      <w:bookmarkStart w:id="16" w:name="risk-mitigation-strategies"/>
      <w:bookmarkEnd w:id="15"/>
      <w:r w:rsidRPr="00153BE6">
        <w:rPr>
          <w:rFonts w:ascii="Prata" w:hAnsi="Prata"/>
          <w:color w:val="948A54" w:themeColor="background2" w:themeShade="80"/>
        </w:rPr>
        <w:t>Risk Mitigation Strategies</w:t>
      </w:r>
    </w:p>
    <w:p w14:paraId="27F92EFB" w14:textId="77777777" w:rsidR="00CE38E9" w:rsidRPr="00153BE6" w:rsidRDefault="00000000">
      <w:pPr>
        <w:pStyle w:val="FirstParagraph"/>
        <w:rPr>
          <w:rFonts w:ascii="Poppins" w:hAnsi="Poppins" w:cs="Poppins"/>
        </w:rPr>
      </w:pPr>
      <w:r w:rsidRPr="00153BE6">
        <w:rPr>
          <w:rFonts w:ascii="Poppins" w:hAnsi="Poppins" w:cs="Poppins"/>
          <w:b/>
          <w:bCs/>
        </w:rPr>
        <w:t>Proactive Engagement Framework:</w:t>
      </w:r>
    </w:p>
    <w:p w14:paraId="1D8C296E" w14:textId="77777777" w:rsidR="00CE38E9" w:rsidRPr="00153BE6" w:rsidRDefault="00000000">
      <w:pPr>
        <w:pStyle w:val="Compact"/>
        <w:numPr>
          <w:ilvl w:val="0"/>
          <w:numId w:val="11"/>
        </w:numPr>
        <w:rPr>
          <w:rFonts w:ascii="Poppins" w:hAnsi="Poppins" w:cs="Poppins"/>
        </w:rPr>
      </w:pPr>
      <w:r w:rsidRPr="00153BE6">
        <w:rPr>
          <w:rFonts w:ascii="Poppins" w:hAnsi="Poppins" w:cs="Poppins"/>
          <w:b/>
          <w:bCs/>
        </w:rPr>
        <w:t>Pre-Project Phase</w:t>
      </w:r>
      <w:r w:rsidRPr="00153BE6">
        <w:rPr>
          <w:rFonts w:ascii="Poppins" w:hAnsi="Poppins" w:cs="Poppins"/>
        </w:rPr>
        <w:t>: Comprehensive traditional territory mapping and early community engagement</w:t>
      </w:r>
    </w:p>
    <w:p w14:paraId="251E1710" w14:textId="77777777" w:rsidR="00CE38E9" w:rsidRPr="00153BE6" w:rsidRDefault="00000000">
      <w:pPr>
        <w:pStyle w:val="Compact"/>
        <w:numPr>
          <w:ilvl w:val="0"/>
          <w:numId w:val="11"/>
        </w:numPr>
        <w:rPr>
          <w:rFonts w:ascii="Poppins" w:hAnsi="Poppins" w:cs="Poppins"/>
        </w:rPr>
      </w:pPr>
      <w:r w:rsidRPr="00153BE6">
        <w:rPr>
          <w:rFonts w:ascii="Poppins" w:hAnsi="Poppins" w:cs="Poppins"/>
          <w:b/>
          <w:bCs/>
        </w:rPr>
        <w:t>Legal Framework Education</w:t>
      </w:r>
      <w:r w:rsidRPr="00153BE6">
        <w:rPr>
          <w:rFonts w:ascii="Poppins" w:hAnsi="Poppins" w:cs="Poppins"/>
        </w:rPr>
        <w:t>: Staff training on UNDRIP, FPIC, and Indigenous legal systems</w:t>
      </w:r>
    </w:p>
    <w:p w14:paraId="0E6779D6" w14:textId="77777777" w:rsidR="00CE38E9" w:rsidRPr="00153BE6" w:rsidRDefault="00000000">
      <w:pPr>
        <w:pStyle w:val="Compact"/>
        <w:numPr>
          <w:ilvl w:val="0"/>
          <w:numId w:val="11"/>
        </w:numPr>
        <w:rPr>
          <w:rFonts w:ascii="Poppins" w:hAnsi="Poppins" w:cs="Poppins"/>
        </w:rPr>
      </w:pPr>
      <w:r w:rsidRPr="00153BE6">
        <w:rPr>
          <w:rFonts w:ascii="Poppins" w:hAnsi="Poppins" w:cs="Poppins"/>
          <w:b/>
          <w:bCs/>
        </w:rPr>
        <w:t>Ongoing Relationship Management</w:t>
      </w:r>
      <w:r w:rsidRPr="00153BE6">
        <w:rPr>
          <w:rFonts w:ascii="Poppins" w:hAnsi="Poppins" w:cs="Poppins"/>
        </w:rPr>
        <w:t>: Continuous dialogue beyond initial consultation phases</w:t>
      </w:r>
    </w:p>
    <w:p w14:paraId="32B9C2FC" w14:textId="77777777" w:rsidR="00CE38E9" w:rsidRPr="00153BE6" w:rsidRDefault="00000000">
      <w:pPr>
        <w:pStyle w:val="Compact"/>
        <w:numPr>
          <w:ilvl w:val="0"/>
          <w:numId w:val="11"/>
        </w:numPr>
        <w:rPr>
          <w:rFonts w:ascii="Poppins" w:hAnsi="Poppins" w:cs="Poppins"/>
        </w:rPr>
      </w:pPr>
      <w:r w:rsidRPr="00153BE6">
        <w:rPr>
          <w:rFonts w:ascii="Poppins" w:hAnsi="Poppins" w:cs="Poppins"/>
          <w:b/>
          <w:bCs/>
        </w:rPr>
        <w:lastRenderedPageBreak/>
        <w:t>Cultural Protocol Integration</w:t>
      </w:r>
      <w:r w:rsidRPr="00153BE6">
        <w:rPr>
          <w:rFonts w:ascii="Poppins" w:hAnsi="Poppins" w:cs="Poppins"/>
        </w:rPr>
        <w:t>: Respectful engagement practices aligned with Indigenous governance</w:t>
      </w:r>
    </w:p>
    <w:p w14:paraId="1B7A18E3" w14:textId="77777777" w:rsidR="00CE38E9" w:rsidRPr="00153BE6" w:rsidRDefault="00000000">
      <w:pPr>
        <w:pStyle w:val="FirstParagraph"/>
        <w:rPr>
          <w:rFonts w:ascii="Poppins" w:hAnsi="Poppins" w:cs="Poppins"/>
        </w:rPr>
      </w:pPr>
      <w:r w:rsidRPr="00153BE6">
        <w:rPr>
          <w:rFonts w:ascii="Poppins" w:hAnsi="Poppins" w:cs="Poppins"/>
          <w:b/>
          <w:bCs/>
        </w:rPr>
        <w:t>Regulatory Compliance Enhancement:</w:t>
      </w:r>
    </w:p>
    <w:p w14:paraId="3619800D" w14:textId="77777777" w:rsidR="00CE38E9" w:rsidRPr="00153BE6" w:rsidRDefault="00000000">
      <w:pPr>
        <w:pStyle w:val="Compact"/>
        <w:numPr>
          <w:ilvl w:val="0"/>
          <w:numId w:val="12"/>
        </w:numPr>
        <w:rPr>
          <w:rFonts w:ascii="Poppins" w:hAnsi="Poppins" w:cs="Poppins"/>
        </w:rPr>
      </w:pPr>
      <w:r w:rsidRPr="00153BE6">
        <w:rPr>
          <w:rFonts w:ascii="Poppins" w:hAnsi="Poppins" w:cs="Poppins"/>
          <w:b/>
          <w:bCs/>
        </w:rPr>
        <w:t>UNDRIP Compliance Verification</w:t>
      </w:r>
      <w:r w:rsidRPr="00153BE6">
        <w:rPr>
          <w:rFonts w:ascii="Poppins" w:hAnsi="Poppins" w:cs="Poppins"/>
        </w:rPr>
        <w:t>: Ensure all project phases align with UNDRIP principles</w:t>
      </w:r>
    </w:p>
    <w:p w14:paraId="0B52466C" w14:textId="77777777" w:rsidR="00CE38E9" w:rsidRPr="00153BE6" w:rsidRDefault="00000000">
      <w:pPr>
        <w:pStyle w:val="Compact"/>
        <w:numPr>
          <w:ilvl w:val="0"/>
          <w:numId w:val="12"/>
        </w:numPr>
        <w:rPr>
          <w:rFonts w:ascii="Poppins" w:hAnsi="Poppins" w:cs="Poppins"/>
        </w:rPr>
      </w:pPr>
      <w:r w:rsidRPr="00153BE6">
        <w:rPr>
          <w:rFonts w:ascii="Poppins" w:hAnsi="Poppins" w:cs="Poppins"/>
          <w:b/>
          <w:bCs/>
        </w:rPr>
        <w:t>Government Coordination</w:t>
      </w:r>
      <w:r w:rsidRPr="00153BE6">
        <w:rPr>
          <w:rFonts w:ascii="Poppins" w:hAnsi="Poppins" w:cs="Poppins"/>
        </w:rPr>
        <w:t>: Active coordination with Crown consultation obligations</w:t>
      </w:r>
    </w:p>
    <w:p w14:paraId="6E644C96" w14:textId="77777777" w:rsidR="00CE38E9" w:rsidRPr="00153BE6" w:rsidRDefault="00000000">
      <w:pPr>
        <w:pStyle w:val="Compact"/>
        <w:numPr>
          <w:ilvl w:val="0"/>
          <w:numId w:val="12"/>
        </w:numPr>
        <w:rPr>
          <w:rFonts w:ascii="Poppins" w:hAnsi="Poppins" w:cs="Poppins"/>
        </w:rPr>
      </w:pPr>
      <w:r w:rsidRPr="00153BE6">
        <w:rPr>
          <w:rFonts w:ascii="Poppins" w:hAnsi="Poppins" w:cs="Poppins"/>
          <w:b/>
          <w:bCs/>
        </w:rPr>
        <w:t>Documentation Standards</w:t>
      </w:r>
      <w:r w:rsidRPr="00153BE6">
        <w:rPr>
          <w:rFonts w:ascii="Poppins" w:hAnsi="Poppins" w:cs="Poppins"/>
        </w:rPr>
        <w:t>: Comprehensive record-keeping of consultation processes</w:t>
      </w:r>
    </w:p>
    <w:p w14:paraId="18DB0EE8" w14:textId="77777777" w:rsidR="00CE38E9" w:rsidRPr="00153BE6" w:rsidRDefault="00000000">
      <w:pPr>
        <w:pStyle w:val="Compact"/>
        <w:numPr>
          <w:ilvl w:val="0"/>
          <w:numId w:val="12"/>
        </w:numPr>
        <w:rPr>
          <w:rFonts w:ascii="Poppins" w:hAnsi="Poppins" w:cs="Poppins"/>
        </w:rPr>
      </w:pPr>
      <w:r w:rsidRPr="00153BE6">
        <w:rPr>
          <w:rFonts w:ascii="Poppins" w:hAnsi="Poppins" w:cs="Poppins"/>
          <w:b/>
          <w:bCs/>
        </w:rPr>
        <w:t>Legal Review Integration</w:t>
      </w:r>
      <w:r w:rsidRPr="00153BE6">
        <w:rPr>
          <w:rFonts w:ascii="Poppins" w:hAnsi="Poppins" w:cs="Poppins"/>
        </w:rPr>
        <w:t>: Regular legal assessment of consultation adequacy</w:t>
      </w:r>
    </w:p>
    <w:p w14:paraId="6AFCD381" w14:textId="66E3A127" w:rsidR="00CE38E9" w:rsidRPr="00153BE6" w:rsidRDefault="00000000">
      <w:pPr>
        <w:pStyle w:val="Heading1"/>
        <w:rPr>
          <w:rFonts w:ascii="Prata" w:hAnsi="Prata"/>
          <w:color w:val="948A54" w:themeColor="background2" w:themeShade="80"/>
        </w:rPr>
      </w:pPr>
      <w:bookmarkStart w:id="17" w:name="conclusion-and-strategic-implications"/>
      <w:bookmarkEnd w:id="14"/>
      <w:bookmarkEnd w:id="16"/>
      <w:r w:rsidRPr="00153BE6">
        <w:rPr>
          <w:rFonts w:ascii="Prata" w:hAnsi="Prata"/>
          <w:color w:val="948A54" w:themeColor="background2" w:themeShade="80"/>
        </w:rPr>
        <w:t>Conclusion and Strategic Implications</w:t>
      </w:r>
      <w:r w:rsidR="00153BE6">
        <w:rPr>
          <w:rFonts w:ascii="Prata" w:hAnsi="Prata"/>
          <w:color w:val="948A54" w:themeColor="background2" w:themeShade="80"/>
        </w:rPr>
        <w:t xml:space="preserve"> for Projects Under Federal Jurisdictions and Approvals</w:t>
      </w:r>
    </w:p>
    <w:p w14:paraId="004AE810" w14:textId="77777777" w:rsidR="00CE38E9" w:rsidRPr="00153BE6" w:rsidRDefault="00000000">
      <w:pPr>
        <w:pStyle w:val="FirstParagraph"/>
        <w:rPr>
          <w:rFonts w:ascii="Poppins" w:hAnsi="Poppins" w:cs="Poppins"/>
        </w:rPr>
      </w:pPr>
      <w:r w:rsidRPr="00153BE6">
        <w:rPr>
          <w:rFonts w:ascii="Poppins" w:hAnsi="Poppins" w:cs="Poppins"/>
        </w:rPr>
        <w:t xml:space="preserve">The </w:t>
      </w:r>
      <w:proofErr w:type="spellStart"/>
      <w:r w:rsidRPr="00153BE6">
        <w:rPr>
          <w:rFonts w:ascii="Poppins" w:hAnsi="Poppins" w:cs="Poppins"/>
          <w:i/>
          <w:iCs/>
        </w:rPr>
        <w:t>Kebaowek</w:t>
      </w:r>
      <w:proofErr w:type="spellEnd"/>
      <w:r w:rsidRPr="00153BE6">
        <w:rPr>
          <w:rFonts w:ascii="Poppins" w:hAnsi="Poppins" w:cs="Poppins"/>
          <w:i/>
          <w:iCs/>
        </w:rPr>
        <w:t xml:space="preserve"> First Nation v. Canadian Nuclear Laboratories</w:t>
      </w:r>
      <w:r w:rsidRPr="00153BE6">
        <w:rPr>
          <w:rFonts w:ascii="Poppins" w:hAnsi="Poppins" w:cs="Poppins"/>
        </w:rPr>
        <w:t xml:space="preserve"> ruling represents a fundamental shift in Canadian Indigenous consultation law. Justice Blackhawk's decision establishes that meaningful Indigenous consultation requires genuine engagement with Indigenous legal frameworks, traditional knowledge, and governance structures.</w:t>
      </w:r>
    </w:p>
    <w:p w14:paraId="54B56C60" w14:textId="75AF879D" w:rsidR="00CE38E9" w:rsidRPr="00153BE6" w:rsidRDefault="00000000">
      <w:pPr>
        <w:pStyle w:val="BodyText"/>
        <w:rPr>
          <w:rFonts w:ascii="Poppins" w:hAnsi="Poppins" w:cs="Poppins"/>
        </w:rPr>
      </w:pPr>
      <w:r w:rsidRPr="00153BE6">
        <w:rPr>
          <w:rFonts w:ascii="Poppins" w:hAnsi="Poppins" w:cs="Poppins"/>
          <w:b/>
          <w:bCs/>
        </w:rPr>
        <w:t>Key Takeaways</w:t>
      </w:r>
      <w:r w:rsidR="00A71DB6">
        <w:rPr>
          <w:rFonts w:ascii="Poppins" w:hAnsi="Poppins" w:cs="Poppins"/>
          <w:b/>
          <w:bCs/>
        </w:rPr>
        <w:t xml:space="preserve"> for Canadian Federal Projects</w:t>
      </w:r>
    </w:p>
    <w:p w14:paraId="4F0B926A" w14:textId="77777777" w:rsidR="00CE38E9" w:rsidRPr="00153BE6" w:rsidRDefault="00000000">
      <w:pPr>
        <w:pStyle w:val="Compact"/>
        <w:numPr>
          <w:ilvl w:val="0"/>
          <w:numId w:val="20"/>
        </w:numPr>
        <w:rPr>
          <w:rFonts w:ascii="Poppins" w:hAnsi="Poppins" w:cs="Poppins"/>
        </w:rPr>
      </w:pPr>
      <w:r w:rsidRPr="00153BE6">
        <w:rPr>
          <w:rFonts w:ascii="Poppins" w:hAnsi="Poppins" w:cs="Poppins"/>
          <w:b/>
          <w:bCs/>
        </w:rPr>
        <w:t>Legal Evolution</w:t>
      </w:r>
      <w:r w:rsidRPr="00153BE6">
        <w:rPr>
          <w:rFonts w:ascii="Poppins" w:hAnsi="Poppins" w:cs="Poppins"/>
        </w:rPr>
        <w:t>: Indigenous consultation requirements have been permanently elevated</w:t>
      </w:r>
    </w:p>
    <w:p w14:paraId="09FCD82F" w14:textId="04F6CD92" w:rsidR="00CE38E9" w:rsidRPr="00153BE6" w:rsidRDefault="00000000">
      <w:pPr>
        <w:pStyle w:val="Compact"/>
        <w:numPr>
          <w:ilvl w:val="0"/>
          <w:numId w:val="20"/>
        </w:numPr>
        <w:rPr>
          <w:rFonts w:ascii="Poppins" w:hAnsi="Poppins" w:cs="Poppins"/>
        </w:rPr>
      </w:pPr>
      <w:r w:rsidRPr="00153BE6">
        <w:rPr>
          <w:rFonts w:ascii="Poppins" w:hAnsi="Poppins" w:cs="Poppins"/>
          <w:b/>
          <w:bCs/>
        </w:rPr>
        <w:t>Cultural Competency Imperative</w:t>
      </w:r>
      <w:r w:rsidRPr="00153BE6">
        <w:rPr>
          <w:rFonts w:ascii="Poppins" w:hAnsi="Poppins" w:cs="Poppins"/>
        </w:rPr>
        <w:t xml:space="preserve">: Professional development in Indigenous relations is now </w:t>
      </w:r>
      <w:r w:rsidR="00A71DB6">
        <w:rPr>
          <w:rFonts w:ascii="Poppins" w:hAnsi="Poppins" w:cs="Poppins"/>
        </w:rPr>
        <w:t>a key priority and legal necessity</w:t>
      </w:r>
    </w:p>
    <w:p w14:paraId="43FE3739" w14:textId="184F0B93" w:rsidR="00CE38E9" w:rsidRPr="00153BE6" w:rsidRDefault="00000000">
      <w:pPr>
        <w:pStyle w:val="Compact"/>
        <w:numPr>
          <w:ilvl w:val="0"/>
          <w:numId w:val="20"/>
        </w:numPr>
        <w:rPr>
          <w:rFonts w:ascii="Poppins" w:hAnsi="Poppins" w:cs="Poppins"/>
        </w:rPr>
      </w:pPr>
      <w:r w:rsidRPr="00153BE6">
        <w:rPr>
          <w:rFonts w:ascii="Poppins" w:hAnsi="Poppins" w:cs="Poppins"/>
          <w:b/>
          <w:bCs/>
        </w:rPr>
        <w:t>Proactive Engagement</w:t>
      </w:r>
      <w:r w:rsidRPr="00153BE6">
        <w:rPr>
          <w:rFonts w:ascii="Poppins" w:hAnsi="Poppins" w:cs="Poppins"/>
        </w:rPr>
        <w:t>: Early</w:t>
      </w:r>
      <w:r w:rsidR="00A71DB6">
        <w:rPr>
          <w:rFonts w:ascii="Poppins" w:hAnsi="Poppins" w:cs="Poppins"/>
        </w:rPr>
        <w:t xml:space="preserve"> and</w:t>
      </w:r>
      <w:r w:rsidRPr="00153BE6">
        <w:rPr>
          <w:rFonts w:ascii="Poppins" w:hAnsi="Poppins" w:cs="Poppins"/>
        </w:rPr>
        <w:t xml:space="preserve"> respectful</w:t>
      </w:r>
      <w:r w:rsidR="00A71DB6">
        <w:rPr>
          <w:rFonts w:ascii="Poppins" w:hAnsi="Poppins" w:cs="Poppins"/>
        </w:rPr>
        <w:t>,</w:t>
      </w:r>
      <w:r w:rsidRPr="00153BE6">
        <w:rPr>
          <w:rFonts w:ascii="Poppins" w:hAnsi="Poppins" w:cs="Poppins"/>
        </w:rPr>
        <w:t xml:space="preserve"> </w:t>
      </w:r>
      <w:r w:rsidR="00A71DB6">
        <w:rPr>
          <w:rFonts w:ascii="Poppins" w:hAnsi="Poppins" w:cs="Poppins"/>
        </w:rPr>
        <w:t>engagement, relationship building and consultation</w:t>
      </w:r>
      <w:r w:rsidRPr="00153BE6">
        <w:rPr>
          <w:rFonts w:ascii="Poppins" w:hAnsi="Poppins" w:cs="Poppins"/>
        </w:rPr>
        <w:t xml:space="preserve"> prevents costly legal challenges</w:t>
      </w:r>
    </w:p>
    <w:p w14:paraId="0A996FBC" w14:textId="77777777" w:rsidR="00CE38E9" w:rsidRPr="00153BE6" w:rsidRDefault="00000000">
      <w:pPr>
        <w:pStyle w:val="Compact"/>
        <w:numPr>
          <w:ilvl w:val="0"/>
          <w:numId w:val="20"/>
        </w:numPr>
        <w:rPr>
          <w:rFonts w:ascii="Poppins" w:hAnsi="Poppins" w:cs="Poppins"/>
        </w:rPr>
      </w:pPr>
      <w:r w:rsidRPr="00153BE6">
        <w:rPr>
          <w:rFonts w:ascii="Poppins" w:hAnsi="Poppins" w:cs="Poppins"/>
          <w:b/>
          <w:bCs/>
        </w:rPr>
        <w:t>Partnership Focus</w:t>
      </w:r>
      <w:r w:rsidRPr="00153BE6">
        <w:rPr>
          <w:rFonts w:ascii="Poppins" w:hAnsi="Poppins" w:cs="Poppins"/>
        </w:rPr>
        <w:t>: Moving from consultation to genuine partnership and consent-seeking</w:t>
      </w:r>
    </w:p>
    <w:p w14:paraId="3B603399" w14:textId="77777777" w:rsidR="00CE38E9" w:rsidRPr="00153BE6" w:rsidRDefault="00000000">
      <w:pPr>
        <w:pStyle w:val="FirstParagraph"/>
        <w:rPr>
          <w:rFonts w:ascii="Poppins" w:hAnsi="Poppins" w:cs="Poppins"/>
        </w:rPr>
      </w:pPr>
      <w:r w:rsidRPr="00153BE6">
        <w:rPr>
          <w:rFonts w:ascii="Poppins" w:hAnsi="Poppins" w:cs="Poppins"/>
          <w:b/>
          <w:bCs/>
        </w:rPr>
        <w:t>Strategic Recommendations:</w:t>
      </w:r>
    </w:p>
    <w:p w14:paraId="76992521" w14:textId="77777777" w:rsidR="00CE38E9" w:rsidRPr="00153BE6" w:rsidRDefault="00000000">
      <w:pPr>
        <w:pStyle w:val="Compact"/>
        <w:numPr>
          <w:ilvl w:val="0"/>
          <w:numId w:val="21"/>
        </w:numPr>
        <w:rPr>
          <w:rFonts w:ascii="Poppins" w:hAnsi="Poppins" w:cs="Poppins"/>
        </w:rPr>
      </w:pPr>
      <w:r w:rsidRPr="00153BE6">
        <w:rPr>
          <w:rFonts w:ascii="Poppins" w:hAnsi="Poppins" w:cs="Poppins"/>
          <w:b/>
          <w:bCs/>
        </w:rPr>
        <w:t>Policy Development</w:t>
      </w:r>
      <w:r w:rsidRPr="00153BE6">
        <w:rPr>
          <w:rFonts w:ascii="Poppins" w:hAnsi="Poppins" w:cs="Poppins"/>
        </w:rPr>
        <w:t>: Integrate UNDRIP principles into corporate policies and procedures</w:t>
      </w:r>
    </w:p>
    <w:p w14:paraId="6C325BB2" w14:textId="77777777" w:rsidR="00CE38E9" w:rsidRPr="00153BE6" w:rsidRDefault="00000000">
      <w:pPr>
        <w:pStyle w:val="Compact"/>
        <w:numPr>
          <w:ilvl w:val="0"/>
          <w:numId w:val="21"/>
        </w:numPr>
        <w:rPr>
          <w:rFonts w:ascii="Poppins" w:hAnsi="Poppins" w:cs="Poppins"/>
        </w:rPr>
      </w:pPr>
      <w:r w:rsidRPr="00153BE6">
        <w:rPr>
          <w:rFonts w:ascii="Poppins" w:hAnsi="Poppins" w:cs="Poppins"/>
          <w:b/>
          <w:bCs/>
        </w:rPr>
        <w:lastRenderedPageBreak/>
        <w:t>Relationship Building</w:t>
      </w:r>
      <w:r w:rsidRPr="00153BE6">
        <w:rPr>
          <w:rFonts w:ascii="Poppins" w:hAnsi="Poppins" w:cs="Poppins"/>
        </w:rPr>
        <w:t>: Establish ongoing dialogue with Indigenous communities in operational areas</w:t>
      </w:r>
    </w:p>
    <w:p w14:paraId="62F4AD7A" w14:textId="77777777" w:rsidR="00CE38E9" w:rsidRPr="00153BE6" w:rsidRDefault="00000000">
      <w:pPr>
        <w:pStyle w:val="Compact"/>
        <w:numPr>
          <w:ilvl w:val="0"/>
          <w:numId w:val="21"/>
        </w:numPr>
        <w:rPr>
          <w:rFonts w:ascii="Poppins" w:hAnsi="Poppins" w:cs="Poppins"/>
        </w:rPr>
      </w:pPr>
      <w:r w:rsidRPr="00153BE6">
        <w:rPr>
          <w:rFonts w:ascii="Poppins" w:hAnsi="Poppins" w:cs="Poppins"/>
          <w:b/>
          <w:bCs/>
        </w:rPr>
        <w:t>Legal Compliance Review</w:t>
      </w:r>
      <w:r w:rsidRPr="00153BE6">
        <w:rPr>
          <w:rFonts w:ascii="Poppins" w:hAnsi="Poppins" w:cs="Poppins"/>
        </w:rPr>
        <w:t>: Ensure all projects align with evolving consultation standards</w:t>
      </w:r>
    </w:p>
    <w:p w14:paraId="5FB01E39" w14:textId="5E53646C" w:rsidR="00CE38E9" w:rsidRPr="00153BE6" w:rsidRDefault="00000000">
      <w:pPr>
        <w:pStyle w:val="FirstParagraph"/>
        <w:rPr>
          <w:rFonts w:ascii="Poppins" w:hAnsi="Poppins" w:cs="Poppins"/>
        </w:rPr>
      </w:pPr>
      <w:r w:rsidRPr="00153BE6">
        <w:rPr>
          <w:rFonts w:ascii="Poppins" w:hAnsi="Poppins" w:cs="Poppins"/>
        </w:rPr>
        <w:t xml:space="preserve">The CNL case ultimately demonstrates that in today's legal and social environment, </w:t>
      </w:r>
      <w:r w:rsidR="00A71DB6" w:rsidRPr="00A71DB6">
        <w:rPr>
          <w:rFonts w:ascii="Poppins" w:hAnsi="Poppins" w:cs="Poppins"/>
          <w:lang w:val="en-CA"/>
        </w:rPr>
        <w:t>Crown</w:t>
      </w:r>
      <w:r w:rsidR="00A71DB6" w:rsidRPr="00A71DB6">
        <w:rPr>
          <w:rFonts w:ascii="Poppins" w:hAnsi="Poppins" w:cs="Poppins"/>
          <w:lang w:val="en-CA"/>
        </w:rPr>
        <w:noBreakHyphen/>
        <w:t>owned corporation</w:t>
      </w:r>
      <w:r w:rsidR="00A71DB6">
        <w:rPr>
          <w:rFonts w:ascii="Poppins" w:hAnsi="Poppins" w:cs="Poppins"/>
          <w:lang w:val="en-CA"/>
        </w:rPr>
        <w:t>s</w:t>
      </w:r>
      <w:r w:rsidR="00A71DB6" w:rsidRPr="00A71DB6">
        <w:rPr>
          <w:rFonts w:ascii="Poppins" w:hAnsi="Poppins" w:cs="Poppins"/>
          <w:lang w:val="en-CA"/>
        </w:rPr>
        <w:t xml:space="preserve"> </w:t>
      </w:r>
      <w:r w:rsidR="00A71DB6">
        <w:rPr>
          <w:rFonts w:ascii="Poppins" w:hAnsi="Poppins" w:cs="Poppins"/>
          <w:lang w:val="en-CA"/>
        </w:rPr>
        <w:t xml:space="preserve">operating on a government-owned/contractor-operated (GoCo) model </w:t>
      </w:r>
      <w:r w:rsidR="00A71DB6">
        <w:rPr>
          <w:rFonts w:ascii="Poppins" w:hAnsi="Poppins" w:cs="Poppins"/>
        </w:rPr>
        <w:t>such as CNL</w:t>
      </w:r>
      <w:r w:rsidRPr="00153BE6">
        <w:rPr>
          <w:rFonts w:ascii="Poppins" w:hAnsi="Poppins" w:cs="Poppins"/>
        </w:rPr>
        <w:t xml:space="preserve"> cannot achieve sustainable success without genuine Indigenous partnership and community consent.</w:t>
      </w:r>
    </w:p>
    <w:p w14:paraId="2722CA4D" w14:textId="77777777" w:rsidR="00CE38E9" w:rsidRPr="00A71DB6" w:rsidRDefault="00000000">
      <w:pPr>
        <w:pStyle w:val="Heading1"/>
        <w:rPr>
          <w:rFonts w:ascii="Prata" w:hAnsi="Prata"/>
          <w:color w:val="948A54" w:themeColor="background2" w:themeShade="80"/>
        </w:rPr>
      </w:pPr>
      <w:bookmarkStart w:id="18" w:name="references"/>
      <w:bookmarkEnd w:id="17"/>
      <w:r w:rsidRPr="00A71DB6">
        <w:rPr>
          <w:rFonts w:ascii="Prata" w:hAnsi="Prata"/>
          <w:color w:val="948A54" w:themeColor="background2" w:themeShade="80"/>
        </w:rPr>
        <w:t>References</w:t>
      </w:r>
    </w:p>
    <w:p w14:paraId="7CB7A9DC" w14:textId="77777777" w:rsidR="00CE38E9" w:rsidRPr="00A71DB6" w:rsidRDefault="00000000">
      <w:pPr>
        <w:pStyle w:val="FirstParagraph"/>
        <w:rPr>
          <w:rFonts w:ascii="Poppins" w:hAnsi="Poppins" w:cs="Poppins"/>
          <w:color w:val="000000" w:themeColor="text1"/>
        </w:rPr>
      </w:pPr>
      <w:bookmarkStart w:id="19" w:name="ref-1"/>
      <w:bookmarkEnd w:id="19"/>
      <w:r w:rsidRPr="00A71DB6">
        <w:rPr>
          <w:rFonts w:ascii="Poppins" w:hAnsi="Poppins" w:cs="Poppins"/>
          <w:color w:val="000000" w:themeColor="text1"/>
        </w:rPr>
        <w:t xml:space="preserve">[1] CAFES Ottawa. (2025, February 19). </w:t>
      </w:r>
      <w:r w:rsidRPr="00A71DB6">
        <w:rPr>
          <w:rFonts w:ascii="Poppins" w:hAnsi="Poppins" w:cs="Poppins"/>
          <w:i/>
          <w:iCs/>
          <w:color w:val="000000" w:themeColor="text1"/>
        </w:rPr>
        <w:t xml:space="preserve">Court Recognizes </w:t>
      </w:r>
      <w:proofErr w:type="spellStart"/>
      <w:r w:rsidRPr="00A71DB6">
        <w:rPr>
          <w:rFonts w:ascii="Poppins" w:hAnsi="Poppins" w:cs="Poppins"/>
          <w:i/>
          <w:iCs/>
          <w:color w:val="000000" w:themeColor="text1"/>
        </w:rPr>
        <w:t>Kebaowek</w:t>
      </w:r>
      <w:proofErr w:type="spellEnd"/>
      <w:r w:rsidRPr="00A71DB6">
        <w:rPr>
          <w:rFonts w:ascii="Poppins" w:hAnsi="Poppins" w:cs="Poppins"/>
          <w:i/>
          <w:iCs/>
          <w:color w:val="000000" w:themeColor="text1"/>
        </w:rPr>
        <w:t xml:space="preserve"> First Nation's Right to Consent on Nuclear Waste Project.</w:t>
      </w:r>
      <w:r w:rsidRPr="00A71DB6">
        <w:rPr>
          <w:rFonts w:ascii="Poppins" w:hAnsi="Poppins" w:cs="Poppins"/>
          <w:color w:val="000000" w:themeColor="text1"/>
        </w:rPr>
        <w:t xml:space="preserve"> CAFES Ottawa. </w:t>
      </w:r>
      <w:hyperlink r:id="rId9">
        <w:r w:rsidR="00CE38E9" w:rsidRPr="00A71DB6">
          <w:rPr>
            <w:rStyle w:val="Hyperlink"/>
            <w:rFonts w:ascii="Poppins" w:hAnsi="Poppins" w:cs="Poppins"/>
            <w:color w:val="000000" w:themeColor="text1"/>
          </w:rPr>
          <w:t>https://cafesottawa.ca/court-recognizes-kebaowek-first-nations-right-to-consent-on-nuclear-waste-project/</w:t>
        </w:r>
      </w:hyperlink>
    </w:p>
    <w:p w14:paraId="2CFC5E79" w14:textId="77777777" w:rsidR="00CE38E9" w:rsidRPr="00A71DB6" w:rsidRDefault="00000000">
      <w:pPr>
        <w:pStyle w:val="BodyText"/>
        <w:rPr>
          <w:rFonts w:ascii="Poppins" w:hAnsi="Poppins" w:cs="Poppins"/>
          <w:color w:val="000000" w:themeColor="text1"/>
        </w:rPr>
      </w:pPr>
      <w:bookmarkStart w:id="20" w:name="ref-2"/>
      <w:bookmarkEnd w:id="20"/>
      <w:r w:rsidRPr="00A71DB6">
        <w:rPr>
          <w:rFonts w:ascii="Poppins" w:hAnsi="Poppins" w:cs="Poppins"/>
          <w:color w:val="000000" w:themeColor="text1"/>
        </w:rPr>
        <w:t xml:space="preserve">[2] </w:t>
      </w:r>
      <w:proofErr w:type="spellStart"/>
      <w:r w:rsidRPr="00A71DB6">
        <w:rPr>
          <w:rFonts w:ascii="Poppins" w:hAnsi="Poppins" w:cs="Poppins"/>
          <w:color w:val="000000" w:themeColor="text1"/>
        </w:rPr>
        <w:t>NetNewsLedger</w:t>
      </w:r>
      <w:proofErr w:type="spellEnd"/>
      <w:r w:rsidRPr="00A71DB6">
        <w:rPr>
          <w:rFonts w:ascii="Poppins" w:hAnsi="Poppins" w:cs="Poppins"/>
          <w:color w:val="000000" w:themeColor="text1"/>
        </w:rPr>
        <w:t xml:space="preserve">. (2025, March 20). </w:t>
      </w:r>
      <w:r w:rsidRPr="00A71DB6">
        <w:rPr>
          <w:rFonts w:ascii="Poppins" w:hAnsi="Poppins" w:cs="Poppins"/>
          <w:i/>
          <w:iCs/>
          <w:color w:val="000000" w:themeColor="text1"/>
        </w:rPr>
        <w:t>Federal Court Orders Reconsideration of Nuclear Waste Facility Approval, Citing Inadequate Indigenous Consultation.</w:t>
      </w:r>
      <w:r w:rsidRPr="00A71DB6">
        <w:rPr>
          <w:rFonts w:ascii="Poppins" w:hAnsi="Poppins" w:cs="Poppins"/>
          <w:color w:val="000000" w:themeColor="text1"/>
        </w:rPr>
        <w:t xml:space="preserve"> </w:t>
      </w:r>
      <w:proofErr w:type="spellStart"/>
      <w:r w:rsidRPr="00A71DB6">
        <w:rPr>
          <w:rFonts w:ascii="Poppins" w:hAnsi="Poppins" w:cs="Poppins"/>
          <w:color w:val="000000" w:themeColor="text1"/>
        </w:rPr>
        <w:t>NetNewsLedger</w:t>
      </w:r>
      <w:proofErr w:type="spellEnd"/>
      <w:r w:rsidRPr="00A71DB6">
        <w:rPr>
          <w:rFonts w:ascii="Poppins" w:hAnsi="Poppins" w:cs="Poppins"/>
          <w:color w:val="000000" w:themeColor="text1"/>
        </w:rPr>
        <w:t xml:space="preserve">. </w:t>
      </w:r>
      <w:hyperlink r:id="rId10">
        <w:r w:rsidR="00CE38E9" w:rsidRPr="00A71DB6">
          <w:rPr>
            <w:rStyle w:val="Hyperlink"/>
            <w:rFonts w:ascii="Poppins" w:hAnsi="Poppins" w:cs="Poppins"/>
            <w:color w:val="000000" w:themeColor="text1"/>
          </w:rPr>
          <w:t>https://www.netnewsledger.com/2025/03/20/federal-court-orders-reconsideration-of-nuclear-waste-facility-approval-citing-inadequate-indigenous-consultation/</w:t>
        </w:r>
      </w:hyperlink>
    </w:p>
    <w:p w14:paraId="68C1240B" w14:textId="77777777" w:rsidR="00CE38E9" w:rsidRPr="00A71DB6" w:rsidRDefault="00000000">
      <w:pPr>
        <w:pStyle w:val="BodyText"/>
        <w:rPr>
          <w:rFonts w:ascii="Poppins" w:hAnsi="Poppins" w:cs="Poppins"/>
          <w:color w:val="000000" w:themeColor="text1"/>
        </w:rPr>
      </w:pPr>
      <w:bookmarkStart w:id="21" w:name="ref-3"/>
      <w:bookmarkEnd w:id="21"/>
      <w:r w:rsidRPr="00A71DB6">
        <w:rPr>
          <w:rFonts w:ascii="Poppins" w:hAnsi="Poppins" w:cs="Poppins"/>
          <w:color w:val="000000" w:themeColor="text1"/>
        </w:rPr>
        <w:t xml:space="preserve">[3] North Renfrew Times. (2025, February 26). </w:t>
      </w:r>
      <w:r w:rsidRPr="00A71DB6">
        <w:rPr>
          <w:rFonts w:ascii="Poppins" w:hAnsi="Poppins" w:cs="Poppins"/>
          <w:i/>
          <w:iCs/>
          <w:color w:val="000000" w:themeColor="text1"/>
        </w:rPr>
        <w:t>Court orders NSDF delay.</w:t>
      </w:r>
      <w:r w:rsidRPr="00A71DB6">
        <w:rPr>
          <w:rFonts w:ascii="Poppins" w:hAnsi="Poppins" w:cs="Poppins"/>
          <w:color w:val="000000" w:themeColor="text1"/>
        </w:rPr>
        <w:t xml:space="preserve"> North Renfrew Times. </w:t>
      </w:r>
      <w:hyperlink r:id="rId11">
        <w:r w:rsidR="00CE38E9" w:rsidRPr="00A71DB6">
          <w:rPr>
            <w:rStyle w:val="Hyperlink"/>
            <w:rFonts w:ascii="Poppins" w:hAnsi="Poppins" w:cs="Poppins"/>
            <w:color w:val="000000" w:themeColor="text1"/>
          </w:rPr>
          <w:t>https://northrenfrewtimes.ca/news/court-orders-nsdf-delay/</w:t>
        </w:r>
      </w:hyperlink>
    </w:p>
    <w:p w14:paraId="54909CE7" w14:textId="77777777" w:rsidR="00CE38E9" w:rsidRPr="00A71DB6" w:rsidRDefault="00000000">
      <w:pPr>
        <w:pStyle w:val="BodyText"/>
        <w:rPr>
          <w:rFonts w:ascii="Poppins" w:hAnsi="Poppins" w:cs="Poppins"/>
          <w:color w:val="000000" w:themeColor="text1"/>
        </w:rPr>
      </w:pPr>
      <w:bookmarkStart w:id="22" w:name="ref-4"/>
      <w:bookmarkEnd w:id="22"/>
      <w:r w:rsidRPr="00A71DB6">
        <w:rPr>
          <w:rFonts w:ascii="Poppins" w:hAnsi="Poppins" w:cs="Poppins"/>
          <w:color w:val="000000" w:themeColor="text1"/>
        </w:rPr>
        <w:t xml:space="preserve">[4] Canadian Nuclear Safety Commission. (2025). </w:t>
      </w:r>
      <w:r w:rsidRPr="00A71DB6">
        <w:rPr>
          <w:rFonts w:ascii="Poppins" w:hAnsi="Poppins" w:cs="Poppins"/>
          <w:i/>
          <w:iCs/>
          <w:color w:val="000000" w:themeColor="text1"/>
        </w:rPr>
        <w:t xml:space="preserve">Consultation with </w:t>
      </w:r>
      <w:proofErr w:type="spellStart"/>
      <w:r w:rsidRPr="00A71DB6">
        <w:rPr>
          <w:rFonts w:ascii="Poppins" w:hAnsi="Poppins" w:cs="Poppins"/>
          <w:i/>
          <w:iCs/>
          <w:color w:val="000000" w:themeColor="text1"/>
        </w:rPr>
        <w:t>Kebaowek</w:t>
      </w:r>
      <w:proofErr w:type="spellEnd"/>
      <w:r w:rsidRPr="00A71DB6">
        <w:rPr>
          <w:rFonts w:ascii="Poppins" w:hAnsi="Poppins" w:cs="Poppins"/>
          <w:i/>
          <w:iCs/>
          <w:color w:val="000000" w:themeColor="text1"/>
        </w:rPr>
        <w:t xml:space="preserve"> First Nation.</w:t>
      </w:r>
      <w:r w:rsidRPr="00A71DB6">
        <w:rPr>
          <w:rFonts w:ascii="Poppins" w:hAnsi="Poppins" w:cs="Poppins"/>
          <w:color w:val="000000" w:themeColor="text1"/>
        </w:rPr>
        <w:t xml:space="preserve"> CNSC. </w:t>
      </w:r>
      <w:hyperlink r:id="rId12">
        <w:r w:rsidR="00CE38E9" w:rsidRPr="00A71DB6">
          <w:rPr>
            <w:rStyle w:val="Hyperlink"/>
            <w:rFonts w:ascii="Poppins" w:hAnsi="Poppins" w:cs="Poppins"/>
            <w:color w:val="000000" w:themeColor="text1"/>
          </w:rPr>
          <w:t>https://www.cnsc-ccsn.gc.ca/eng/indigenous-relations/un-declaration-cnsc-approach/consultation-kebaowek-first-nation/</w:t>
        </w:r>
      </w:hyperlink>
    </w:p>
    <w:p w14:paraId="4AE01AC4" w14:textId="77777777" w:rsidR="00CE38E9" w:rsidRPr="00A71DB6" w:rsidRDefault="00000000">
      <w:pPr>
        <w:pStyle w:val="BodyText"/>
        <w:rPr>
          <w:rFonts w:ascii="Poppins" w:hAnsi="Poppins" w:cs="Poppins"/>
          <w:color w:val="000000" w:themeColor="text1"/>
        </w:rPr>
      </w:pPr>
      <w:bookmarkStart w:id="23" w:name="ref-5"/>
      <w:bookmarkEnd w:id="23"/>
      <w:r w:rsidRPr="00A71DB6">
        <w:rPr>
          <w:rFonts w:ascii="Poppins" w:hAnsi="Poppins" w:cs="Poppins"/>
          <w:color w:val="000000" w:themeColor="text1"/>
        </w:rPr>
        <w:t xml:space="preserve">[5] CBC News. (2025, February 21). </w:t>
      </w:r>
      <w:proofErr w:type="spellStart"/>
      <w:r w:rsidRPr="00A71DB6">
        <w:rPr>
          <w:rFonts w:ascii="Poppins" w:hAnsi="Poppins" w:cs="Poppins"/>
          <w:i/>
          <w:iCs/>
          <w:color w:val="000000" w:themeColor="text1"/>
        </w:rPr>
        <w:t>Kebaowek</w:t>
      </w:r>
      <w:proofErr w:type="spellEnd"/>
      <w:r w:rsidRPr="00A71DB6">
        <w:rPr>
          <w:rFonts w:ascii="Poppins" w:hAnsi="Poppins" w:cs="Poppins"/>
          <w:i/>
          <w:iCs/>
          <w:color w:val="000000" w:themeColor="text1"/>
        </w:rPr>
        <w:t xml:space="preserve"> First Nation wins precedent-setting case against nuclear waste facility.</w:t>
      </w:r>
      <w:r w:rsidRPr="00A71DB6">
        <w:rPr>
          <w:rFonts w:ascii="Poppins" w:hAnsi="Poppins" w:cs="Poppins"/>
          <w:color w:val="000000" w:themeColor="text1"/>
        </w:rPr>
        <w:t xml:space="preserve"> CBC News. </w:t>
      </w:r>
      <w:hyperlink r:id="rId13">
        <w:r w:rsidR="00CE38E9" w:rsidRPr="00A71DB6">
          <w:rPr>
            <w:rStyle w:val="Hyperlink"/>
            <w:rFonts w:ascii="Poppins" w:hAnsi="Poppins" w:cs="Poppins"/>
            <w:color w:val="000000" w:themeColor="text1"/>
          </w:rPr>
          <w:t>https://www.nationalobserver.com/2025/02/21/news/kebaowek-first-nation-nuclear-waste-facility-undrip</w:t>
        </w:r>
      </w:hyperlink>
    </w:p>
    <w:p w14:paraId="126FAAAC" w14:textId="77777777" w:rsidR="00CE38E9" w:rsidRPr="00A71DB6" w:rsidRDefault="00000000">
      <w:pPr>
        <w:pStyle w:val="BodyText"/>
        <w:rPr>
          <w:rFonts w:ascii="Poppins" w:hAnsi="Poppins" w:cs="Poppins"/>
          <w:color w:val="000000" w:themeColor="text1"/>
          <w:lang w:val="fr-FR"/>
        </w:rPr>
      </w:pPr>
      <w:bookmarkStart w:id="24" w:name="ref-6"/>
      <w:bookmarkEnd w:id="24"/>
      <w:r w:rsidRPr="00A71DB6">
        <w:rPr>
          <w:rFonts w:ascii="Poppins" w:hAnsi="Poppins" w:cs="Poppins"/>
          <w:color w:val="000000" w:themeColor="text1"/>
        </w:rPr>
        <w:lastRenderedPageBreak/>
        <w:t xml:space="preserve">[6] International Council on Mining and Metals. (2024). </w:t>
      </w:r>
      <w:r w:rsidRPr="00A71DB6">
        <w:rPr>
          <w:rFonts w:ascii="Poppins" w:hAnsi="Poppins" w:cs="Poppins"/>
          <w:i/>
          <w:iCs/>
          <w:color w:val="000000" w:themeColor="text1"/>
        </w:rPr>
        <w:t>Good Practice Guide: Indigenous Peoples and Mining.</w:t>
      </w:r>
      <w:r w:rsidRPr="00A71DB6">
        <w:rPr>
          <w:rFonts w:ascii="Poppins" w:hAnsi="Poppins" w:cs="Poppins"/>
          <w:color w:val="000000" w:themeColor="text1"/>
        </w:rPr>
        <w:t xml:space="preserve"> </w:t>
      </w:r>
      <w:r w:rsidRPr="00A71DB6">
        <w:rPr>
          <w:rFonts w:ascii="Poppins" w:hAnsi="Poppins" w:cs="Poppins"/>
          <w:color w:val="000000" w:themeColor="text1"/>
          <w:lang w:val="fr-FR"/>
        </w:rPr>
        <w:t xml:space="preserve">ICMM Publications. </w:t>
      </w:r>
      <w:hyperlink r:id="rId14">
        <w:r w:rsidR="00CE38E9" w:rsidRPr="00A71DB6">
          <w:rPr>
            <w:rStyle w:val="Hyperlink"/>
            <w:rFonts w:ascii="Poppins" w:hAnsi="Poppins" w:cs="Poppins"/>
            <w:color w:val="000000" w:themeColor="text1"/>
            <w:lang w:val="fr-FR"/>
          </w:rPr>
          <w:t>https://www.business-humanrights.org/en/latest-news/pdf-good-practice-guide-indigenous-peoples-and-mining/</w:t>
        </w:r>
      </w:hyperlink>
    </w:p>
    <w:p w14:paraId="60F33750" w14:textId="77777777" w:rsidR="00CE38E9" w:rsidRPr="00A71DB6" w:rsidRDefault="00000000">
      <w:pPr>
        <w:pStyle w:val="BodyText"/>
        <w:rPr>
          <w:rFonts w:ascii="Poppins" w:hAnsi="Poppins" w:cs="Poppins"/>
          <w:color w:val="000000" w:themeColor="text1"/>
        </w:rPr>
      </w:pPr>
      <w:bookmarkStart w:id="25" w:name="ref-7"/>
      <w:bookmarkEnd w:id="25"/>
      <w:r w:rsidRPr="00A71DB6">
        <w:rPr>
          <w:rFonts w:ascii="Poppins" w:hAnsi="Poppins" w:cs="Poppins"/>
          <w:color w:val="000000" w:themeColor="text1"/>
        </w:rPr>
        <w:t xml:space="preserve">[7] Indigenous Corporate Training Inc. (2024). </w:t>
      </w:r>
      <w:r w:rsidRPr="00A71DB6">
        <w:rPr>
          <w:rFonts w:ascii="Poppins" w:hAnsi="Poppins" w:cs="Poppins"/>
          <w:i/>
          <w:iCs/>
          <w:color w:val="000000" w:themeColor="text1"/>
        </w:rPr>
        <w:t>First Nation Consultation Guidelines.</w:t>
      </w:r>
      <w:r w:rsidRPr="00A71DB6">
        <w:rPr>
          <w:rFonts w:ascii="Poppins" w:hAnsi="Poppins" w:cs="Poppins"/>
          <w:color w:val="000000" w:themeColor="text1"/>
        </w:rPr>
        <w:t xml:space="preserve"> ICT Inc. </w:t>
      </w:r>
      <w:hyperlink r:id="rId15">
        <w:r w:rsidR="00CE38E9" w:rsidRPr="00A71DB6">
          <w:rPr>
            <w:rStyle w:val="Hyperlink"/>
            <w:rFonts w:ascii="Poppins" w:hAnsi="Poppins" w:cs="Poppins"/>
            <w:color w:val="000000" w:themeColor="text1"/>
          </w:rPr>
          <w:t>https://www.ictinc.ca/blog/first-nation-consultation-guidelines</w:t>
        </w:r>
      </w:hyperlink>
      <w:bookmarkEnd w:id="18"/>
    </w:p>
    <w:sectPr w:rsidR="00CE38E9" w:rsidRPr="00A71DB6">
      <w:footerReference w:type="defaul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61897" w14:textId="77777777" w:rsidR="008F0A9A" w:rsidRDefault="008F0A9A">
      <w:pPr>
        <w:spacing w:after="0"/>
      </w:pPr>
      <w:r>
        <w:separator/>
      </w:r>
    </w:p>
  </w:endnote>
  <w:endnote w:type="continuationSeparator" w:id="0">
    <w:p w14:paraId="47A26F60" w14:textId="77777777" w:rsidR="008F0A9A" w:rsidRDefault="008F0A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rata">
    <w:altName w:val="Cambria"/>
    <w:panose1 w:val="00000500000000000000"/>
    <w:charset w:val="00"/>
    <w:family w:val="auto"/>
    <w:pitch w:val="variable"/>
    <w:sig w:usb0="20000203" w:usb1="00000000" w:usb2="00000000" w:usb3="00000000" w:csb0="00000105"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858946"/>
      <w:docPartObj>
        <w:docPartGallery w:val="Page Numbers (Bottom of Page)"/>
        <w:docPartUnique/>
      </w:docPartObj>
    </w:sdtPr>
    <w:sdtEndPr>
      <w:rPr>
        <w:noProof/>
      </w:rPr>
    </w:sdtEndPr>
    <w:sdtContent>
      <w:p w14:paraId="09B0288F" w14:textId="7E4811EB" w:rsidR="006E59EC" w:rsidRDefault="006E59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31641B" w14:textId="77777777" w:rsidR="006E59EC" w:rsidRDefault="006E59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A4AA5" w14:textId="77777777" w:rsidR="008F0A9A" w:rsidRDefault="008F0A9A">
      <w:r>
        <w:separator/>
      </w:r>
    </w:p>
  </w:footnote>
  <w:footnote w:type="continuationSeparator" w:id="0">
    <w:p w14:paraId="3BF20A39" w14:textId="77777777" w:rsidR="008F0A9A" w:rsidRDefault="008F0A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4E64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F8203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002E5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99207390">
    <w:abstractNumId w:val="0"/>
  </w:num>
  <w:num w:numId="2" w16cid:durableId="435757072">
    <w:abstractNumId w:val="1"/>
  </w:num>
  <w:num w:numId="3" w16cid:durableId="198662779">
    <w:abstractNumId w:val="1"/>
  </w:num>
  <w:num w:numId="4" w16cid:durableId="1963224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1574064">
    <w:abstractNumId w:val="1"/>
  </w:num>
  <w:num w:numId="6" w16cid:durableId="1192302497">
    <w:abstractNumId w:val="1"/>
  </w:num>
  <w:num w:numId="7" w16cid:durableId="1040320862">
    <w:abstractNumId w:val="1"/>
  </w:num>
  <w:num w:numId="8" w16cid:durableId="170216546">
    <w:abstractNumId w:val="1"/>
  </w:num>
  <w:num w:numId="9" w16cid:durableId="564725199">
    <w:abstractNumId w:val="1"/>
  </w:num>
  <w:num w:numId="10" w16cid:durableId="1878354485">
    <w:abstractNumId w:val="1"/>
  </w:num>
  <w:num w:numId="11" w16cid:durableId="1480079124">
    <w:abstractNumId w:val="1"/>
  </w:num>
  <w:num w:numId="12" w16cid:durableId="1510291659">
    <w:abstractNumId w:val="1"/>
  </w:num>
  <w:num w:numId="13" w16cid:durableId="1339427659">
    <w:abstractNumId w:val="1"/>
  </w:num>
  <w:num w:numId="14" w16cid:durableId="2068602225">
    <w:abstractNumId w:val="1"/>
  </w:num>
  <w:num w:numId="15" w16cid:durableId="210507333">
    <w:abstractNumId w:val="1"/>
  </w:num>
  <w:num w:numId="16" w16cid:durableId="989594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1990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4698785">
    <w:abstractNumId w:val="1"/>
  </w:num>
  <w:num w:numId="19" w16cid:durableId="1215199690">
    <w:abstractNumId w:val="1"/>
  </w:num>
  <w:num w:numId="20" w16cid:durableId="146214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2779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38E9"/>
    <w:rsid w:val="000541A8"/>
    <w:rsid w:val="000A623D"/>
    <w:rsid w:val="00121DB2"/>
    <w:rsid w:val="00143FA8"/>
    <w:rsid w:val="00153BE6"/>
    <w:rsid w:val="002303D3"/>
    <w:rsid w:val="00310FC1"/>
    <w:rsid w:val="003244D8"/>
    <w:rsid w:val="00353CCE"/>
    <w:rsid w:val="0050574A"/>
    <w:rsid w:val="005E185E"/>
    <w:rsid w:val="00645C80"/>
    <w:rsid w:val="006E4122"/>
    <w:rsid w:val="006E59EC"/>
    <w:rsid w:val="00874916"/>
    <w:rsid w:val="008F0A9A"/>
    <w:rsid w:val="009369A8"/>
    <w:rsid w:val="00A71DB6"/>
    <w:rsid w:val="00B909CA"/>
    <w:rsid w:val="00B964B5"/>
    <w:rsid w:val="00CB7836"/>
    <w:rsid w:val="00CE38E9"/>
    <w:rsid w:val="00D81330"/>
    <w:rsid w:val="00DA6AC8"/>
    <w:rsid w:val="00E93BC5"/>
    <w:rsid w:val="00E970B3"/>
    <w:rsid w:val="00F02E76"/>
    <w:rsid w:val="00F11E03"/>
    <w:rsid w:val="00F76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0225"/>
  <w15:docId w15:val="{9C3CF472-DD8E-41F4-8DB9-9BA332B82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3244D8"/>
  </w:style>
  <w:style w:type="paragraph" w:styleId="Header">
    <w:name w:val="header"/>
    <w:basedOn w:val="Normal"/>
    <w:link w:val="HeaderChar"/>
    <w:rsid w:val="006E59EC"/>
    <w:pPr>
      <w:tabs>
        <w:tab w:val="center" w:pos="4680"/>
        <w:tab w:val="right" w:pos="9360"/>
      </w:tabs>
      <w:spacing w:after="0"/>
    </w:pPr>
  </w:style>
  <w:style w:type="character" w:customStyle="1" w:styleId="HeaderChar">
    <w:name w:val="Header Char"/>
    <w:basedOn w:val="DefaultParagraphFont"/>
    <w:link w:val="Header"/>
    <w:rsid w:val="006E59EC"/>
  </w:style>
  <w:style w:type="paragraph" w:styleId="Footer">
    <w:name w:val="footer"/>
    <w:basedOn w:val="Normal"/>
    <w:link w:val="FooterChar"/>
    <w:uiPriority w:val="99"/>
    <w:rsid w:val="006E59EC"/>
    <w:pPr>
      <w:tabs>
        <w:tab w:val="center" w:pos="4680"/>
        <w:tab w:val="right" w:pos="9360"/>
      </w:tabs>
      <w:spacing w:after="0"/>
    </w:pPr>
  </w:style>
  <w:style w:type="character" w:customStyle="1" w:styleId="FooterChar">
    <w:name w:val="Footer Char"/>
    <w:basedOn w:val="DefaultParagraphFont"/>
    <w:link w:val="Footer"/>
    <w:uiPriority w:val="99"/>
    <w:rsid w:val="006E5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nationalobserver.com/2025/02/21/news/kebaowek-first-nation-nuclear-waste-facility-undri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nsc-ccsn.gc.ca/eng/indigenous-relations/un-declaration-cnsc-approach/consultation-kebaowek-first-nati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rthrenfrewtimes.ca/news/court-orders-nsdf-delay/" TargetMode="External"/><Relationship Id="rId5" Type="http://schemas.openxmlformats.org/officeDocument/2006/relationships/footnotes" Target="footnotes.xml"/><Relationship Id="rId15" Type="http://schemas.openxmlformats.org/officeDocument/2006/relationships/hyperlink" Target="https://www.ictinc.ca/blog/first-nation-consultation-guidelines" TargetMode="External"/><Relationship Id="rId10" Type="http://schemas.openxmlformats.org/officeDocument/2006/relationships/hyperlink" Target="https://www.netnewsledger.com/2025/03/20/federal-court-orders-reconsideration-of-nuclear-waste-facility-approval-citing-inadequate-indigenous-consultation/" TargetMode="External"/><Relationship Id="rId4" Type="http://schemas.openxmlformats.org/officeDocument/2006/relationships/webSettings" Target="webSettings.xml"/><Relationship Id="rId9" Type="http://schemas.openxmlformats.org/officeDocument/2006/relationships/hyperlink" Target="https://cafesottawa.ca/court-recognizes-kebaowek-first-nations-right-to-consent-on-nuclear-waste-project/" TargetMode="External"/><Relationship Id="rId14" Type="http://schemas.openxmlformats.org/officeDocument/2006/relationships/hyperlink" Target="https://www.business-humanrights.org/en/latest-news/pdf-good-practice-guide-indigenous-peoples-and-m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10</Pages>
  <Words>1497</Words>
  <Characters>11025</Characters>
  <Application>Microsoft Office Word</Application>
  <DocSecurity>0</DocSecurity>
  <Lines>239</Lines>
  <Paragraphs>131</Paragraphs>
  <ScaleCrop>false</ScaleCrop>
  <HeadingPairs>
    <vt:vector size="2" baseType="variant">
      <vt:variant>
        <vt:lpstr>Title</vt:lpstr>
      </vt:variant>
      <vt:variant>
        <vt:i4>1</vt:i4>
      </vt:variant>
    </vt:vector>
  </HeadingPairs>
  <TitlesOfParts>
    <vt:vector size="1" baseType="lpstr">
      <vt:lpstr>Canadian Nuclear Laboratories NSDF Case Study: Landmark Ruling on Indigenous Consultation and Traditional Law Recognition</vt:lpstr>
    </vt:vector>
  </TitlesOfParts>
  <Company/>
  <LinksUpToDate>false</LinksUpToDate>
  <CharactersWithSpaces>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Canadian Nuclear Laboratories NSDF Case Study: Landmark Ruling on Indigenous Consultation and Traditional Law Recognition</dc:title>
  <dc:creator>NWOPA Training Partnership</dc:creator>
  <cp:keywords/>
  <cp:lastModifiedBy>Garrett Ugray</cp:lastModifiedBy>
  <cp:revision>12</cp:revision>
  <dcterms:created xsi:type="dcterms:W3CDTF">2026-01-15T04:02:00Z</dcterms:created>
  <dcterms:modified xsi:type="dcterms:W3CDTF">2026-02-03T18:17:00Z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2026-01-15</vt:lpwstr>
  </property>
</Properties>
</file>