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Improve RentalAgreement Design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 Ignore other context.</w:t>
        <w:br/>
        <w:t>```package com.toolstore.demo.model;</w:t>
        <w:br/>
        <w:br/>
        <w:t>import com.fasterxml.jackson.annotation.JsonFormat;</w:t>
        <w:br/>
        <w:t>import lombok.Builder;</w:t>
        <w:br/>
        <w:t>import lombok.Getter;</w:t>
        <w:br/>
        <w:br/>
        <w:t>import java.math.BigDecimal;</w:t>
        <w:br/>
        <w:t>import java.time.LocalDate;</w:t>
        <w:br/>
        <w:t>import java.time.format.DateTimeFormatter;</w:t>
        <w:br/>
        <w:t>import java.text.NumberFormat;</w:t>
        <w:br/>
        <w:t>import java.util.Locale;</w:t>
        <w:br/>
        <w:br/>
        <w:t>@Getter</w:t>
        <w:br/>
        <w:t>@Builder</w:t>
        <w:br/>
        <w:t>public class RentalAgreement {</w:t>
        <w:br/>
        <w:br/>
        <w:t xml:space="preserve">    private String toolCode;</w:t>
        <w:br/>
        <w:t xml:space="preserve">    private String toolType;</w:t>
        <w:br/>
        <w:t xml:space="preserve">    private String toolBrand;</w:t>
        <w:br/>
        <w:t xml:space="preserve">    private int rentalDays;</w:t>
        <w:br/>
        <w:br/>
        <w:t xml:space="preserve">    @JsonFormat(pattern = "MM/dd/yy")</w:t>
        <w:br/>
        <w:t xml:space="preserve">    private LocalDate checkoutDate;</w:t>
        <w:br/>
        <w:br/>
        <w:t xml:space="preserve">    @JsonFormat(pattern = "MM/dd/yy")</w:t>
        <w:br/>
        <w:t xml:space="preserve">    private LocalDate dueDate;</w:t>
        <w:br/>
        <w:br/>
        <w:t xml:space="preserve">    private BigDecimal dailyRentalCharge;</w:t>
        <w:br/>
        <w:t xml:space="preserve">    private int chargeDays;</w:t>
        <w:br/>
        <w:t xml:space="preserve">    private BigDecimal preDiscountCharge;</w:t>
        <w:br/>
        <w:t xml:space="preserve">    private int discountPercent;</w:t>
        <w:br/>
        <w:t xml:space="preserve">    private BigDecimal discountAmount;</w:t>
        <w:br/>
        <w:t xml:space="preserve">    private BigDecimal finalCharge;</w:t>
        <w:br/>
        <w:t>}```</w:t>
      </w:r>
    </w:p>
    <w:p/>
    <w:p>
      <w:r>
        <w:rPr>
          <w:b/>
          <w:sz w:val="28"/>
        </w:rPr>
        <w:t>RouteLLM</w:t>
      </w:r>
    </w:p>
    <w:p/>
    <w:p/>
    <w:p>
      <w:r>
        <w:rPr>
          <w:b/>
          <w:sz w:val="32"/>
        </w:rPr>
        <w:t>Inferred responsibility</w:t>
      </w:r>
    </w:p>
    <w:p/>
    <w:p>
      <w:r>
        <w:rPr>
          <w:rFonts w:ascii="Courier New" w:hAnsi="Courier New"/>
          <w:sz w:val="20"/>
        </w:rPr>
        <w:t>RentalAgreement</w:t>
      </w:r>
      <w:r>
        <w:t xml:space="preserve"> appears to be a </w:t>
      </w:r>
      <w:r>
        <w:rPr>
          <w:b/>
        </w:rPr>
        <w:t>domain model / DTO</w:t>
      </w:r>
      <w:r>
        <w:t xml:space="preserve"> that represents the output of a rental checkout: tool identity + rental period + computed charges/discounts. As written, it’s essentially an immutable data holder (via </w:t>
      </w:r>
      <w:r>
        <w:rPr>
          <w:rFonts w:ascii="Courier New" w:hAnsi="Courier New"/>
          <w:sz w:val="20"/>
        </w:rPr>
        <w:t>@Getter</w:t>
      </w:r>
      <w:r>
        <w:t xml:space="preserve"> + </w:t>
      </w:r>
      <w:r>
        <w:rPr>
          <w:rFonts w:ascii="Courier New" w:hAnsi="Courier New"/>
          <w:sz w:val="20"/>
        </w:rPr>
        <w:t>@Builder</w:t>
      </w:r>
      <w:r>
        <w:t>), which is a good, single responsibility.</w:t>
      </w:r>
    </w:p>
    <w:p/>
    <w:p/>
    <w:p>
      <w:r>
        <w:rPr>
          <w:b/>
          <w:sz w:val="32"/>
        </w:rPr>
        <w:t>SOLID review (only improvements if applicable)</w:t>
      </w:r>
    </w:p>
    <w:p/>
    <w:p/>
    <w:p/>
    <w:p>
      <w:r>
        <w:rPr>
          <w:b/>
          <w:sz w:val="28"/>
        </w:rPr>
        <w:t>1) Single Responsibility Principle (SRP)</w:t>
      </w:r>
    </w:p>
    <w:p/>
    <w:p>
      <w:pPr>
        <w:pStyle w:val="ListBullet"/>
      </w:pPr>
      <w:r>
        <w:rPr>
          <w:b/>
        </w:rPr>
        <w:t>Currently OK</w:t>
      </w:r>
      <w:r>
        <w:t xml:space="preserve"> </w:t>
      </w:r>
      <w:r>
        <w:t>: There’s no behavior; it just holds agreement data.</w:t>
      </w:r>
    </w:p>
    <w:p>
      <w:pPr>
        <w:pStyle w:val="ListBullet"/>
      </w:pPr>
      <w:r>
        <w:rPr>
          <w:b/>
        </w:rPr>
        <w:t>One small concern</w:t>
      </w:r>
      <w:r>
        <w:t xml:space="preserve"> </w:t>
      </w:r>
      <w:r>
        <w:t xml:space="preserve">: </w:t>
      </w:r>
      <w:r>
        <w:rPr>
          <w:rFonts w:ascii="Courier New" w:hAnsi="Courier New"/>
          <w:sz w:val="20"/>
        </w:rPr>
        <w:t>@JsonFormat</w:t>
      </w:r>
      <w:r>
        <w:t xml:space="preserve"> ties the domain object to a specific serialization format (Jackson + date pattern). That’s not “wrong”, but it does couple the model to an infrastructure concern. If you want stricter SRP/clean architecture, consider moving formatting concerns to a DTO or API layer model.</w:t>
      </w:r>
    </w:p>
    <w:p/>
    <w:p>
      <w:r>
        <w:rPr>
          <w:b/>
        </w:rPr>
        <w:t>If you have separate API models:</w:t>
      </w:r>
    </w:p>
    <w:p>
      <w:pPr>
        <w:pStyle w:val="ListBullet"/>
      </w:pPr>
      <w:r>
        <w:t xml:space="preserve">Keep </w:t>
      </w:r>
      <w:r>
        <w:rPr>
          <w:rFonts w:ascii="Courier New" w:hAnsi="Courier New"/>
          <w:sz w:val="20"/>
        </w:rPr>
        <w:t>RentalAgreement</w:t>
      </w:r>
      <w:r>
        <w:t xml:space="preserve"> pure (no Jackson annotations).</w:t>
      </w:r>
    </w:p>
    <w:p>
      <w:pPr>
        <w:pStyle w:val="ListBullet"/>
      </w:pPr>
      <w:r>
        <w:t xml:space="preserve">Create </w:t>
      </w:r>
      <w:r>
        <w:rPr>
          <w:rFonts w:ascii="Courier New" w:hAnsi="Courier New"/>
          <w:sz w:val="20"/>
        </w:rPr>
        <w:t>RentalAgreementResponse</w:t>
      </w:r>
      <w:r>
        <w:t xml:space="preserve"> (or similar) with </w:t>
      </w:r>
      <w:r>
        <w:rPr>
          <w:rFonts w:ascii="Courier New" w:hAnsi="Courier New"/>
          <w:sz w:val="20"/>
        </w:rPr>
        <w:t>@JsonFormat</w:t>
      </w:r>
      <w:r>
        <w:t>.</w:t>
      </w:r>
    </w:p>
    <w:p/>
    <w:p>
      <w:r>
        <w:t xml:space="preserve">If you don’t have that layering, leaving </w:t>
      </w:r>
      <w:r>
        <w:rPr>
          <w:rFonts w:ascii="Courier New" w:hAnsi="Courier New"/>
          <w:sz w:val="20"/>
        </w:rPr>
        <w:t>@JsonFormat</w:t>
      </w:r>
      <w:r>
        <w:t xml:space="preserve"> is pragmatic and not a SOLID violation in many codebases.</w:t>
      </w:r>
    </w:p>
    <w:p/>
    <w:p/>
    <w:p>
      <w:r>
        <w:rPr>
          <w:b/>
          <w:sz w:val="28"/>
        </w:rPr>
        <w:t>2) Interface Segregation / Dependency Inversion</w:t>
      </w:r>
    </w:p>
    <w:p/>
    <w:p>
      <w:pPr>
        <w:pStyle w:val="ListBullet"/>
      </w:pPr>
      <w:r>
        <w:t>Not really applicable here (no interfaces/dependencies).</w:t>
      </w:r>
    </w:p>
    <w:p/>
    <w:p/>
    <w:p/>
    <w:p>
      <w:r>
        <w:rPr>
          <w:b/>
          <w:sz w:val="28"/>
        </w:rPr>
        <w:t>3) Open/Closed / Liskov</w:t>
      </w:r>
    </w:p>
    <w:p/>
    <w:p>
      <w:pPr>
        <w:pStyle w:val="ListBullet"/>
      </w:pPr>
      <w:r>
        <w:t>Not really applicable (no inheritance/polymorphism).</w:t>
      </w:r>
    </w:p>
    <w:p/>
    <w:p/>
    <w:p/>
    <w:p>
      <w:r>
        <w:rPr>
          <w:b/>
          <w:sz w:val="32"/>
        </w:rPr>
        <w:t>Concrete improvements (only if you want them)</w:t>
      </w:r>
    </w:p>
    <w:p/>
    <w:p/>
    <w:p/>
    <w:p>
      <w:r>
        <w:rPr>
          <w:b/>
          <w:sz w:val="28"/>
        </w:rPr>
        <w:t>A) Remove unused imports (definitely applicable)</w:t>
      </w:r>
    </w:p>
    <w:p/>
    <w:p>
      <w:r>
        <w:t xml:space="preserve">You import </w:t>
      </w:r>
      <w:r>
        <w:rPr>
          <w:rFonts w:ascii="Courier New" w:hAnsi="Courier New"/>
          <w:sz w:val="20"/>
        </w:rPr>
        <w:t>DateTimeFormatter</w:t>
      </w:r>
      <w:r>
        <w:t xml:space="preserve">, </w:t>
      </w:r>
      <w:r>
        <w:rPr>
          <w:rFonts w:ascii="Courier New" w:hAnsi="Courier New"/>
          <w:sz w:val="20"/>
        </w:rPr>
        <w:t>NumberFormat</w:t>
      </w:r>
      <w:r>
        <w:t xml:space="preserve">, </w:t>
      </w:r>
      <w:r>
        <w:rPr>
          <w:rFonts w:ascii="Courier New" w:hAnsi="Courier New"/>
          <w:sz w:val="20"/>
        </w:rPr>
        <w:t>Locale</w:t>
      </w:r>
      <w:r>
        <w:t xml:space="preserve"> but don’t use them. Clean these up to reduce noise and avoid implying formatting responsibility.</w:t>
      </w:r>
    </w:p>
    <w:p/>
    <w:p/>
    <w:p>
      <w:r>
        <w:rPr>
          <w:b/>
          <w:sz w:val="28"/>
        </w:rPr>
        <w:t>B) Consider stronger types for money/percent (optional)</w:t>
      </w:r>
    </w:p>
    <w:p/>
    <w:p>
      <w:r>
        <w:t>If this class is used widely in the domain, you can reduce invalid states:</w:t>
      </w:r>
    </w:p>
    <w:p>
      <w:pPr>
        <w:pStyle w:val="ListBullet"/>
      </w:pPr>
      <w:r>
        <w:t xml:space="preserve">Replace </w:t>
      </w:r>
      <w:r>
        <w:rPr>
          <w:rFonts w:ascii="Courier New" w:hAnsi="Courier New"/>
          <w:sz w:val="20"/>
        </w:rPr>
        <w:t>int discountPercent</w:t>
      </w:r>
      <w:r>
        <w:t xml:space="preserve"> with a tiny value object (e.g., </w:t>
      </w:r>
      <w:r>
        <w:rPr>
          <w:rFonts w:ascii="Courier New" w:hAnsi="Courier New"/>
          <w:sz w:val="20"/>
        </w:rPr>
        <w:t>DiscountPercent</w:t>
      </w:r>
      <w:r>
        <w:t xml:space="preserve"> that enforces </w:t>
      </w:r>
      <w:r>
        <w:rPr>
          <w:rFonts w:ascii="Courier New" w:hAnsi="Courier New"/>
          <w:sz w:val="20"/>
        </w:rPr>
        <w:t>0..100</w:t>
      </w:r>
      <w:r>
        <w:t>), or at least validate at construction time elsewhere.</w:t>
      </w:r>
    </w:p>
    <w:p>
      <w:pPr>
        <w:pStyle w:val="ListBullet"/>
      </w:pPr>
      <w:r>
        <w:t xml:space="preserve">Money is already </w:t>
      </w:r>
      <w:r>
        <w:rPr>
          <w:rFonts w:ascii="Courier New" w:hAnsi="Courier New"/>
          <w:sz w:val="20"/>
        </w:rPr>
        <w:t>BigDecimal</w:t>
      </w:r>
      <w:r>
        <w:t xml:space="preserve"> (good), but ensure you have a consistent scale/rounding policy—typically enforced in the pricing/charge calculation service, not here.</w:t>
      </w:r>
    </w:p>
    <w:p/>
    <w:p/>
    <w:p/>
    <w:p>
      <w:r>
        <w:rPr>
          <w:b/>
          <w:sz w:val="28"/>
        </w:rPr>
        <w:t>C) Consider whether tool identity should be a separate value object (optional)</w:t>
      </w:r>
    </w:p>
    <w:p/>
    <w:p>
      <w:r>
        <w:t xml:space="preserve">If </w:t>
      </w:r>
      <w:r>
        <w:rPr>
          <w:rFonts w:ascii="Courier New" w:hAnsi="Courier New"/>
          <w:sz w:val="20"/>
        </w:rPr>
        <w:t>toolCode/toolType/toolBrand</w:t>
      </w:r>
      <w:r>
        <w:t xml:space="preserve"> always travel together, you could model:</w:t>
      </w:r>
    </w:p>
    <w:p>
      <w:pPr>
        <w:pStyle w:val="ListBullet"/>
      </w:pPr>
      <w:r>
        <w:t>and embed it. This can improve cohesion, but only if it matches your domain usage.</w:t>
      </w:r>
      <w:r>
        <w:t>ToolInfo { code, type, brand }</w:t>
      </w:r>
    </w:p>
    <w:p/>
    <w:p/>
    <w:p/>
    <w:p>
      <w:r>
        <w:rPr>
          <w:b/>
          <w:sz w:val="32"/>
        </w:rPr>
        <w:t>Bottom line</w:t>
      </w:r>
    </w:p>
    <w:p/>
    <w:p>
      <w:r>
        <w:t xml:space="preserve">As shown, the class is already largely SRP-compliant as a data model. The only clearly applicable improvement is </w:t>
      </w:r>
      <w:r>
        <w:rPr>
          <w:b/>
        </w:rPr>
        <w:t>removing unused imports</w:t>
      </w:r>
      <w:r>
        <w:t xml:space="preserve"> </w:t>
      </w:r>
      <w:r>
        <w:t xml:space="preserve">. The only potentially SOLID-relevant design tweak is </w:t>
      </w:r>
      <w:r>
        <w:rPr>
          <w:b/>
        </w:rPr>
        <w:t xml:space="preserve">moving </w:t>
      </w:r>
      <w:r>
        <w:rPr>
          <w:rFonts w:ascii="Courier New" w:hAnsi="Courier New"/>
          <w:b/>
          <w:sz w:val="20"/>
        </w:rPr>
        <w:t>@JsonFormat</w:t>
      </w:r>
      <w:r>
        <w:rPr>
          <w:b/>
        </w:rPr>
        <w:t xml:space="preserve"> out</w:t>
      </w:r>
      <w:r>
        <w:t xml:space="preserve"> if you want a strict separation between domain and serialization concerns.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