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Java Class SOLID Review</w:t>
      </w:r>
    </w:p>
    <w:p/>
    <w:p>
      <w:r>
        <w:rPr>
          <w:b/>
          <w:sz w:val="28"/>
        </w:rPr>
        <w:t>I have a Java class in my project that I want to follow Java Solid Principles. Infer the class's responsibility and look for ways to improve it, ONLY if applicable.</w:t>
        <w:br/>
        <w:t>```</w:t>
        <w:br/>
        <w:t>package com.toolstore.demo.model;</w:t>
        <w:br/>
        <w:br/>
        <w:t>import lombok.Getter;</w:t>
        <w:br/>
        <w:t>import lombok.Setter;</w:t>
        <w:br/>
        <w:br/>
        <w:t>@Setter</w:t>
        <w:br/>
        <w:t>@Getter</w:t>
        <w:br/>
        <w:t>public class Tool {</w:t>
        <w:br/>
        <w:t xml:space="preserve">    </w:t>
        <w:br/>
        <w:t xml:space="preserve">    private String code;</w:t>
        <w:br/>
        <w:t xml:space="preserve">    private ToolType toolType;</w:t>
        <w:br/>
        <w:t xml:space="preserve">    private String brand;</w:t>
        <w:br/>
        <w:br/>
        <w:t xml:space="preserve">    public Tool(String code, ToolType toolType, String brand) {</w:t>
        <w:br/>
        <w:t xml:space="preserve">        this.code = code;</w:t>
        <w:br/>
        <w:t xml:space="preserve">        this.toolType = toolType;</w:t>
        <w:br/>
        <w:t xml:space="preserve">        this.brand = brand;</w:t>
        <w:br/>
        <w:t xml:space="preserve">    }</w:t>
        <w:br/>
        <w:br/>
        <w:t>}```</w:t>
      </w:r>
    </w:p>
    <w:p/>
    <w:p>
      <w:r>
        <w:rPr>
          <w:b/>
          <w:sz w:val="28"/>
        </w:rPr>
        <w:t>RouteLLM</w:t>
      </w:r>
    </w:p>
    <w:p/>
    <w:p/>
    <w:p>
      <w:r>
        <w:rPr>
          <w:b/>
          <w:sz w:val="32"/>
        </w:rPr>
        <w:t>Responsibility Inference</w:t>
      </w:r>
    </w:p>
    <w:p/>
    <w:p>
      <w:r>
        <w:t xml:space="preserve">The </w:t>
      </w:r>
      <w:r>
        <w:rPr>
          <w:rFonts w:ascii="Courier New" w:hAnsi="Courier New"/>
          <w:sz w:val="20"/>
        </w:rPr>
        <w:t>Tool</w:t>
      </w:r>
      <w:r>
        <w:t xml:space="preserve"> class is a simple </w:t>
      </w:r>
      <w:r>
        <w:rPr>
          <w:b/>
        </w:rPr>
        <w:t>data model</w:t>
      </w:r>
      <w:r>
        <w:t xml:space="preserve"> whose responsibility is to represent a tool with:</w:t>
      </w:r>
    </w:p>
    <w:p>
      <w:pPr>
        <w:pStyle w:val="ListBullet"/>
      </w:pPr>
      <w:r>
        <w:t xml:space="preserve">a </w:t>
      </w:r>
      <w:r>
        <w:rPr>
          <w:rFonts w:ascii="Courier New" w:hAnsi="Courier New"/>
          <w:sz w:val="20"/>
        </w:rPr>
        <w:t>code</w:t>
      </w:r>
    </w:p>
    <w:p>
      <w:pPr>
        <w:pStyle w:val="ListBullet"/>
      </w:pPr>
      <w:r>
        <w:t xml:space="preserve">a </w:t>
      </w:r>
      <w:r>
        <w:rPr>
          <w:rFonts w:ascii="Courier New" w:hAnsi="Courier New"/>
          <w:sz w:val="20"/>
        </w:rPr>
        <w:t>ToolType</w:t>
      </w:r>
    </w:p>
    <w:p>
      <w:pPr>
        <w:pStyle w:val="ListBullet"/>
      </w:pPr>
      <w:r>
        <w:t xml:space="preserve">a </w:t>
      </w:r>
      <w:r>
        <w:rPr>
          <w:rFonts w:ascii="Courier New" w:hAnsi="Courier New"/>
          <w:sz w:val="20"/>
        </w:rPr>
        <w:t>brand</w:t>
      </w:r>
    </w:p>
    <w:p/>
    <w:p>
      <w:r>
        <w:t xml:space="preserve">This follows the </w:t>
      </w:r>
      <w:r>
        <w:rPr>
          <w:b/>
        </w:rPr>
        <w:t>Single Responsibility Principle (SRP)</w:t>
      </w:r>
      <w:r>
        <w:t xml:space="preserve"> well: it does </w:t>
      </w:r>
      <w:r>
        <w:rPr>
          <w:i/>
        </w:rPr>
        <w:t>only one thing</w:t>
      </w:r>
      <w:r>
        <w:t>—model data.</w:t>
      </w:r>
    </w:p>
    <w:p/>
    <w:p/>
    <w:p>
      <w:r>
        <w:rPr>
          <w:b/>
          <w:sz w:val="32"/>
        </w:rPr>
        <w:t>SOLID Review</w:t>
      </w:r>
    </w:p>
    <w:p/>
    <w:p>
      <w:r>
        <w:t>Here’s a quick evaluation:</w:t>
      </w:r>
    </w:p>
    <w:p>
      <w:pPr>
        <w:pStyle w:val="ListBullet"/>
      </w:pPr>
      <w:r>
        <w:rPr>
          <w:b/>
        </w:rPr>
        <w:t>SRP (Single Responsibility):</w:t>
      </w:r>
      <w:r>
        <w:t xml:space="preserve"> ✔️ Good. It stores data only.</w:t>
      </w:r>
    </w:p>
    <w:p>
      <w:pPr>
        <w:pStyle w:val="ListBullet"/>
      </w:pPr>
      <w:r>
        <w:rPr>
          <w:b/>
        </w:rPr>
        <w:t>OCP (Open/Closed):</w:t>
      </w:r>
      <w:r>
        <w:t xml:space="preserve"> ✔️ Fine. Adding new fields is straightforward. No logic to extend.</w:t>
      </w:r>
    </w:p>
    <w:p>
      <w:pPr>
        <w:pStyle w:val="ListBullet"/>
      </w:pPr>
      <w:r>
        <w:rPr>
          <w:b/>
        </w:rPr>
        <w:t>LSP (Liskov Substitution):</w:t>
      </w:r>
      <w:r>
        <w:t xml:space="preserve"> ✔️ Nothing to violate.</w:t>
      </w:r>
    </w:p>
    <w:p>
      <w:pPr>
        <w:pStyle w:val="ListBullet"/>
      </w:pPr>
      <w:r>
        <w:rPr>
          <w:b/>
        </w:rPr>
        <w:t>ISP (Interface Segregation):</w:t>
      </w:r>
      <w:r>
        <w:t xml:space="preserve"> ✔️ Not relevant; no interfaces.</w:t>
      </w:r>
    </w:p>
    <w:p>
      <w:pPr>
        <w:pStyle w:val="ListBullet"/>
      </w:pPr>
      <w:r>
        <w:rPr>
          <w:b/>
        </w:rPr>
        <w:t>DIP (Dependency Inversion):</w:t>
      </w:r>
      <w:r>
        <w:t xml:space="preserve"> ✔️ No dependencies to invert.</w:t>
      </w:r>
    </w:p>
    <w:p/>
    <w:p/>
    <w:p/>
    <w:p>
      <w:r>
        <w:rPr>
          <w:b/>
          <w:sz w:val="32"/>
        </w:rPr>
        <w:t>Potential Improvements (Optional)</w:t>
      </w:r>
    </w:p>
    <w:p/>
    <w:p>
      <w:r>
        <w:t xml:space="preserve">These are </w:t>
      </w:r>
      <w:r>
        <w:rPr>
          <w:i/>
        </w:rPr>
        <w:t>not required</w:t>
      </w:r>
      <w:r>
        <w:t>, but you may consider them if they align with your design goals:</w:t>
      </w:r>
    </w:p>
    <w:p/>
    <w:p/>
    <w:p>
      <w:r>
        <w:rPr>
          <w:b/>
          <w:sz w:val="28"/>
        </w:rPr>
        <w:t>1. Make the class immutable</w:t>
      </w:r>
    </w:p>
    <w:p/>
    <w:p>
      <w:r>
        <w:t>If tools should not change after creation:</w:t>
      </w:r>
    </w:p>
    <w:p>
      <w:r>
        <w:rPr>
          <w:rFonts w:ascii="Courier New" w:hAnsi="Courier New"/>
          <w:color w:val="000000"/>
          <w:sz w:val="22"/>
        </w:rPr>
        <w:t>@Getter</w:t>
        <w:br/>
        <w:t>public class Tool {</w:t>
        <w:br/>
        <w:t xml:space="preserve">    private final String code;</w:t>
        <w:br/>
        <w:t xml:space="preserve">    private final ToolType toolType;</w:t>
        <w:br/>
        <w:t xml:space="preserve">    private final String brand;</w:t>
        <w:br/>
        <w:br/>
        <w:t xml:space="preserve">    public Tool(String code, ToolType toolType, String brand) {</w:t>
        <w:br/>
        <w:t xml:space="preserve">        this.code = code;</w:t>
        <w:br/>
        <w:t xml:space="preserve">        this.toolType = toolType;</w:t>
        <w:br/>
        <w:t xml:space="preserve">        this.brand = brand;</w:t>
        <w:br/>
        <w:t xml:space="preserve">    }</w:t>
        <w:br/>
        <w:t>}</w:t>
        <w:br/>
      </w:r>
    </w:p>
    <w:p/>
    <w:p>
      <w:r>
        <w:t>Immutability improves thread‑safety and reduces side effects.</w:t>
      </w:r>
    </w:p>
    <w:p/>
    <w:p/>
    <w:p>
      <w:r>
        <w:rPr>
          <w:b/>
          <w:sz w:val="28"/>
        </w:rPr>
        <w:t>2. Add basic validation (optional)</w:t>
      </w:r>
    </w:p>
    <w:p/>
    <w:p>
      <w:r>
        <w:t>Only if your domain requires it:</w:t>
      </w:r>
    </w:p>
    <w:p>
      <w:r>
        <w:rPr>
          <w:rFonts w:ascii="Courier New" w:hAnsi="Courier New"/>
          <w:color w:val="000000"/>
          <w:sz w:val="22"/>
        </w:rPr>
        <w:t>public Tool(String code, ToolType toolType, String brand) {</w:t>
        <w:br/>
        <w:t xml:space="preserve">    if (code == null || code.isBlank()) throw new IllegalArgumentException("Tool code required");</w:t>
        <w:br/>
        <w:t xml:space="preserve">    this.code = code;</w:t>
        <w:br/>
        <w:t xml:space="preserve">    this.toolType = toolType;</w:t>
        <w:br/>
        <w:t xml:space="preserve">    this.brand = brand;</w:t>
        <w:br/>
        <w:t>}</w:t>
        <w:br/>
      </w:r>
    </w:p>
    <w:p/>
    <w:p/>
    <w:p/>
    <w:p>
      <w:r>
        <w:rPr>
          <w:b/>
          <w:sz w:val="32"/>
        </w:rPr>
        <w:t>Final Assessment</w:t>
      </w:r>
    </w:p>
    <w:p/>
    <w:p>
      <w:r>
        <w:t>Your class already complies with SOLID as a clean POJO. Improvements are optional and depend on your project’s design needs.</w:t>
      </w:r>
    </w:p>
    <w:p/>
    <w:p>
      <w:r>
        <w:rPr>
          <w:b/>
          <w:sz w:val="28"/>
        </w:rPr>
        <w:t>What about this as an improvement?</w:t>
        <w:br/>
        <w:t>```public record Tool(String code, ToolType toolType, String brand) {</w:t>
        <w:br/>
        <w:br/>
        <w:t>}```</w:t>
      </w:r>
    </w:p>
    <w:p/>
    <w:p>
      <w:r>
        <w:rPr>
          <w:b/>
          <w:sz w:val="28"/>
        </w:rPr>
        <w:t>RouteLLM</w:t>
      </w:r>
    </w:p>
    <w:p>
      <w:r>
        <w:t xml:space="preserve">Great suggestion! Using a </w:t>
      </w:r>
      <w:r>
        <w:rPr>
          <w:b/>
        </w:rPr>
        <w:t>Java Record</w:t>
      </w:r>
      <w:r>
        <w:t xml:space="preserve"> is an excellent improvement for this class. Here's why it aligns well:</w:t>
      </w:r>
    </w:p>
    <w:p/>
    <w:p/>
    <w:p>
      <w:r>
        <w:rPr>
          <w:b/>
          <w:sz w:val="32"/>
        </w:rPr>
        <w:t>✅ Why a Record Works Here</w:t>
      </w:r>
    </w:p>
    <w:p/>
    <w:p>
      <w:pPr>
        <w:pStyle w:val="ListBullet"/>
      </w:pPr>
      <w:r>
        <w:rPr>
          <w:b/>
        </w:rPr>
        <w:t>Immutability by default</w:t>
      </w:r>
      <w:r>
        <w:t xml:space="preserve"> — all fields are </w:t>
      </w:r>
      <w:r>
        <w:rPr>
          <w:rFonts w:ascii="Courier New" w:hAnsi="Courier New"/>
          <w:sz w:val="20"/>
        </w:rPr>
        <w:t>final</w:t>
      </w:r>
      <w:r>
        <w:t>, no setters generated</w:t>
      </w:r>
    </w:p>
    <w:p>
      <w:pPr>
        <w:pStyle w:val="ListBullet"/>
      </w:pPr>
      <w:r>
        <w:rPr>
          <w:b/>
        </w:rPr>
        <w:t>Removes boilerplate</w:t>
      </w:r>
      <w:r>
        <w:t xml:space="preserve"> — no need for Lombok </w:t>
      </w:r>
      <w:r>
        <w:rPr>
          <w:rFonts w:ascii="Courier New" w:hAnsi="Courier New"/>
          <w:sz w:val="20"/>
        </w:rPr>
        <w:t>@Getter</w:t>
      </w:r>
      <w:r>
        <w:t>/</w:t>
      </w:r>
      <w:r>
        <w:rPr>
          <w:rFonts w:ascii="Courier New" w:hAnsi="Courier New"/>
          <w:sz w:val="20"/>
        </w:rPr>
        <w:t>@Setter</w:t>
      </w:r>
      <w:r>
        <w:t xml:space="preserve">, constructor, </w:t>
      </w:r>
      <w:r>
        <w:rPr>
          <w:rFonts w:ascii="Courier New" w:hAnsi="Courier New"/>
          <w:sz w:val="20"/>
        </w:rPr>
        <w:t>equals()</w:t>
      </w:r>
      <w:r>
        <w:t xml:space="preserve">, </w:t>
      </w:r>
      <w:r>
        <w:rPr>
          <w:rFonts w:ascii="Courier New" w:hAnsi="Courier New"/>
          <w:sz w:val="20"/>
        </w:rPr>
        <w:t>hashCode()</w:t>
      </w:r>
      <w:r>
        <w:t xml:space="preserve">, or </w:t>
      </w:r>
      <w:r>
        <w:rPr>
          <w:rFonts w:ascii="Courier New" w:hAnsi="Courier New"/>
          <w:sz w:val="20"/>
        </w:rPr>
        <w:t>toString()</w:t>
      </w:r>
    </w:p>
    <w:p>
      <w:pPr>
        <w:pStyle w:val="ListBullet"/>
      </w:pPr>
      <w:r>
        <w:rPr>
          <w:b/>
        </w:rPr>
        <w:t>Clearer intent</w:t>
      </w:r>
      <w:r>
        <w:t xml:space="preserve"> — a </w:t>
      </w:r>
      <w:r>
        <w:rPr>
          <w:rFonts w:ascii="Courier New" w:hAnsi="Courier New"/>
          <w:sz w:val="20"/>
        </w:rPr>
        <w:t>record</w:t>
      </w:r>
      <w:r>
        <w:t xml:space="preserve"> signals to other developers </w:t>
      </w:r>
      <w:r>
        <w:rPr>
          <w:i/>
        </w:rPr>
        <w:t>"this is pure data"</w:t>
      </w:r>
      <w:r>
        <w:t>, which perfectly matches the class's responsibility</w:t>
      </w:r>
    </w:p>
    <w:p>
      <w:pPr>
        <w:pStyle w:val="ListBullet"/>
      </w:pPr>
      <w:r>
        <w:rPr>
          <w:b/>
        </w:rPr>
        <w:t>SRP reinforced</w:t>
      </w:r>
      <w:r>
        <w:t xml:space="preserve"> — the record syntax makes it obvious this class has one job: hold tool data</w:t>
      </w:r>
    </w:p>
    <w:p/>
    <w:p/>
    <w:p/>
    <w:p>
      <w:r>
        <w:rPr>
          <w:b/>
          <w:sz w:val="32"/>
        </w:rPr>
        <w:t>⚠️ Things to Consider</w:t>
      </w:r>
    </w:p>
    <w:p/>
    <w:p>
      <w:pPr>
        <w:pStyle w:val="ListBullet"/>
      </w:pPr>
      <w:r>
        <w:rPr>
          <w:b/>
        </w:rPr>
        <w:t>No setters</w:t>
      </w:r>
      <w:r>
        <w:t xml:space="preserve"> — if any part of your codebase mutates a </w:t>
      </w:r>
      <w:r>
        <w:rPr>
          <w:rFonts w:ascii="Courier New" w:hAnsi="Courier New"/>
          <w:sz w:val="20"/>
        </w:rPr>
        <w:t>Tool</w:t>
      </w:r>
      <w:r>
        <w:t xml:space="preserve"> after creation (e.g., </w:t>
      </w:r>
      <w:r>
        <w:rPr>
          <w:rFonts w:ascii="Courier New" w:hAnsi="Courier New"/>
          <w:sz w:val="20"/>
        </w:rPr>
        <w:t>tool.setBrand(...)</w:t>
      </w:r>
      <w:r>
        <w:t>), you'd need to refactor those call sites</w:t>
      </w:r>
    </w:p>
    <w:p>
      <w:pPr>
        <w:pStyle w:val="ListBullet"/>
      </w:pPr>
      <w:r>
        <w:rPr>
          <w:b/>
        </w:rPr>
        <w:t>JPA/Hibernate</w:t>
      </w:r>
      <w:r>
        <w:t xml:space="preserve"> — if </w:t>
      </w:r>
      <w:r>
        <w:rPr>
          <w:rFonts w:ascii="Courier New" w:hAnsi="Courier New"/>
          <w:sz w:val="20"/>
        </w:rPr>
        <w:t>Tool</w:t>
      </w:r>
      <w:r>
        <w:t xml:space="preserve"> is a JPA </w:t>
      </w:r>
      <w:r>
        <w:rPr>
          <w:rFonts w:ascii="Courier New" w:hAnsi="Courier New"/>
          <w:sz w:val="20"/>
        </w:rPr>
        <w:t>@Entity</w:t>
      </w:r>
      <w:r>
        <w:t xml:space="preserve">, records are </w:t>
      </w:r>
      <w:r>
        <w:rPr>
          <w:b/>
        </w:rPr>
        <w:t>not compatible</w:t>
      </w:r>
      <w:r>
        <w:t xml:space="preserve"> since JPA requires a no-arg constructor and mutable fields</w:t>
      </w:r>
    </w:p>
    <w:p>
      <w:pPr>
        <w:pStyle w:val="ListBullet"/>
      </w:pPr>
      <w:r>
        <w:rPr>
          <w:b/>
        </w:rPr>
        <w:t>Frameworks like Jackson</w:t>
      </w:r>
      <w:r>
        <w:t xml:space="preserve"> — generally work fine with records in modern versions (Jackson 2.12+)</w:t>
      </w:r>
    </w:p>
    <w:p/>
    <w:p/>
    <w:p/>
    <w:p>
      <w:r>
        <w:rPr>
          <w:b/>
          <w:sz w:val="32"/>
        </w:rPr>
        <w:t>Verdict</w:t>
      </w:r>
    </w:p>
    <w:p/>
    <w:p>
      <w:r>
        <w:t xml:space="preserve">If </w:t>
      </w:r>
      <w:r>
        <w:rPr>
          <w:rFonts w:ascii="Courier New" w:hAnsi="Courier New"/>
          <w:sz w:val="20"/>
        </w:rPr>
        <w:t>Tool</w:t>
      </w:r>
      <w:r>
        <w:t xml:space="preserve"> is </w:t>
      </w:r>
      <w:r>
        <w:rPr>
          <w:b/>
        </w:rPr>
        <w:t>not a JPA entity</w:t>
      </w:r>
      <w:r>
        <w:t xml:space="preserve"> and mutability isn't needed, the record version is a clean, modern improvement. Let me know if you'd like to check the spec file to confirm how </w:t>
      </w:r>
      <w:r>
        <w:rPr>
          <w:rFonts w:ascii="Courier New" w:hAnsi="Courier New"/>
          <w:sz w:val="20"/>
        </w:rPr>
        <w:t>Tool</w:t>
      </w:r>
      <w:r>
        <w:t xml:space="preserve"> is used!</w:t>
      </w:r>
    </w:p>
    <w:p/>
    <w:p>
      <w:r>
        <w:rPr>
          <w:b/>
          <w:sz w:val="28"/>
        </w:rPr>
        <w:t>directly relevant is this enum</w:t>
        <w:br/>
        <w:t>```package com.toolstore.demo.model;</w:t>
        <w:br/>
        <w:br/>
        <w:t>import lombok.Getter;</w:t>
        <w:br/>
        <w:br/>
        <w:t>import java.math.BigDecimal;</w:t>
        <w:br/>
        <w:br/>
        <w:t>@Getter</w:t>
        <w:br/>
        <w:t>public enum ToolType {</w:t>
        <w:br/>
        <w:t xml:space="preserve">    LADDER(new BigDecimal("1.99"), true, true, false),</w:t>
        <w:br/>
        <w:t xml:space="preserve">    CHAINSAW(new BigDecimal("1.49"), true, false, true),</w:t>
        <w:br/>
        <w:t xml:space="preserve">    JACKHAMMER(new BigDecimal("2.99"), true, false, false);</w:t>
        <w:br/>
        <w:br/>
        <w:t xml:space="preserve">    private final BigDecimal dailyCharge;</w:t>
        <w:br/>
        <w:t xml:space="preserve">    private final boolean weekdayCharge;</w:t>
        <w:br/>
        <w:t xml:space="preserve">    private final boolean weekendCharge;</w:t>
        <w:br/>
        <w:t xml:space="preserve">    private final boolean holidayCharge;</w:t>
        <w:br/>
        <w:br/>
        <w:t xml:space="preserve">    ToolType(BigDecimal dailyCharge, boolean weekdayCharge, boolean weekendCharge, boolean holidayCharge) {</w:t>
        <w:br/>
        <w:t xml:space="preserve">        this.dailyCharge = dailyCharge;</w:t>
        <w:br/>
        <w:t xml:space="preserve">        this.weekdayCharge = weekdayCharge;</w:t>
        <w:br/>
        <w:t xml:space="preserve">        this.weekendCharge = weekendCharge;</w:t>
        <w:br/>
        <w:t xml:space="preserve">        this.holidayCharge = holidayCharge;</w:t>
        <w:br/>
        <w:t xml:space="preserve">    }</w:t>
        <w:br/>
        <w:br/>
        <w:t>}```</w:t>
      </w:r>
    </w:p>
    <w:p/>
    <w:p>
      <w:r>
        <w:rPr>
          <w:b/>
          <w:sz w:val="28"/>
        </w:rPr>
        <w:t>RouteLLM</w:t>
      </w:r>
    </w:p>
    <w:p>
      <w:r>
        <w:t>Let me first check the spec file for context before reviewing.</w:t>
      </w:r>
    </w:p>
    <w:p>
      <w:r>
        <w:rPr>
          <w:b/>
          <w:sz w:val="28"/>
        </w:rPr>
        <w:t xml:space="preserve">Review of </w:t>
      </w:r>
      <w:r>
        <w:rPr>
          <w:rFonts w:ascii="Courier New" w:hAnsi="Courier New"/>
          <w:b/>
          <w:sz w:val="20"/>
        </w:rPr>
        <w:t>ToolType</w:t>
      </w:r>
      <w:r>
        <w:rPr>
          <w:b/>
        </w:rPr>
        <w:t xml:space="preserve"> Enum</w:t>
      </w:r>
    </w:p>
    <w:p/>
    <w:p>
      <w:r>
        <w:t xml:space="preserve">The enum is well-structured and its responsibility is clear: </w:t>
      </w:r>
      <w:r>
        <w:rPr>
          <w:b/>
        </w:rPr>
        <w:t>define tool types with their pricing rules</w:t>
      </w:r>
      <w:r>
        <w:t xml:space="preserve"> </w:t>
      </w:r>
      <w:r>
        <w:t>. It aligns with the spec's pricing table perfectly.</w:t>
      </w:r>
    </w:p>
    <w:p/>
    <w:p/>
    <w:p>
      <w:r>
        <w:rPr>
          <w:b/>
          <w:sz w:val="32"/>
        </w:rPr>
        <w:t>SOLID Assessment</w:t>
      </w:r>
    </w:p>
    <w:p/>
    <w:p>
      <w:pPr>
        <w:pStyle w:val="ListBullet"/>
      </w:pPr>
      <w:r>
        <w:rPr>
          <w:b/>
        </w:rPr>
        <w:t>SRP:</w:t>
      </w:r>
      <w:r>
        <w:t xml:space="preserve"> ✅ Holds pricing/charge rules per tool type — one responsibility</w:t>
      </w:r>
    </w:p>
    <w:p>
      <w:pPr>
        <w:pStyle w:val="ListBullet"/>
      </w:pPr>
      <w:r>
        <w:rPr>
          <w:b/>
        </w:rPr>
        <w:t>OCP:</w:t>
      </w:r>
      <w:r>
        <w:t xml:space="preserve"> ✅ Adding a new tool type (e.g., </w:t>
      </w:r>
      <w:r>
        <w:rPr>
          <w:rFonts w:ascii="Courier New" w:hAnsi="Courier New"/>
          <w:sz w:val="20"/>
        </w:rPr>
        <w:t>DRILL</w:t>
      </w:r>
      <w:r>
        <w:t>) requires no changes to existing code</w:t>
      </w:r>
    </w:p>
    <w:p>
      <w:pPr>
        <w:pStyle w:val="ListBullet"/>
      </w:pPr>
      <w:r>
        <w:rPr>
          <w:b/>
        </w:rPr>
        <w:t>Others:</w:t>
      </w:r>
      <w:r>
        <w:t xml:space="preserve"> ✅ Not applicable here</w:t>
      </w:r>
    </w:p>
    <w:p/>
    <w:p/>
    <w:p/>
    <w:p>
      <w:r>
        <w:rPr>
          <w:b/>
          <w:sz w:val="32"/>
        </w:rPr>
        <w:t>Potential Improvements</w:t>
      </w:r>
    </w:p>
    <w:p/>
    <w:p/>
    <w:p/>
    <w:p>
      <w:r>
        <w:rPr>
          <w:b/>
          <w:sz w:val="28"/>
        </w:rPr>
        <w:t>1. Rename booleans for clarity (minor)</w:t>
      </w:r>
    </w:p>
    <w:p/>
    <w:p>
      <w:r>
        <w:t xml:space="preserve">The </w:t>
      </w:r>
      <w:r>
        <w:rPr>
          <w:rFonts w:ascii="Courier New" w:hAnsi="Courier New"/>
          <w:sz w:val="20"/>
        </w:rPr>
        <w:t>boolean</w:t>
      </w:r>
      <w:r>
        <w:t xml:space="preserve"> field names are already readable, but you could make them more expressive:</w:t>
      </w:r>
    </w:p>
    <w:p>
      <w:r>
        <w:rPr>
          <w:rFonts w:ascii="Courier New" w:hAnsi="Courier New"/>
          <w:color w:val="000000"/>
          <w:sz w:val="22"/>
        </w:rPr>
        <w:t>private final boolean chargedOnWeekdays;</w:t>
        <w:br/>
        <w:t>private final boolean chargedOnWeekends;</w:t>
        <w:br/>
        <w:t>private final boolean chargedOnHolidays;</w:t>
        <w:br/>
      </w:r>
    </w:p>
    <w:p/>
    <w:p/>
    <w:p/>
    <w:p>
      <w:r>
        <w:rPr>
          <w:b/>
          <w:sz w:val="28"/>
        </w:rPr>
        <w:t xml:space="preserve">2. Add a </w:t>
      </w:r>
      <w:r>
        <w:rPr>
          <w:rFonts w:ascii="Courier New" w:hAnsi="Courier New"/>
          <w:b/>
          <w:sz w:val="20"/>
        </w:rPr>
        <w:t>isChargeableOn(DayType day)</w:t>
      </w:r>
      <w:r>
        <w:rPr>
          <w:b/>
        </w:rPr>
        <w:t xml:space="preserve"> method </w:t>
      </w:r>
      <w:r>
        <w:rPr>
          <w:b/>
          <w:i/>
        </w:rPr>
        <w:t>(worth considering)</w:t>
      </w:r>
    </w:p>
    <w:p/>
    <w:p>
      <w:r>
        <w:t>Instead of exposing raw booleans and letting callers decide the logic, encapsulate it:</w:t>
      </w:r>
    </w:p>
    <w:p>
      <w:r>
        <w:rPr>
          <w:rFonts w:ascii="Courier New" w:hAnsi="Courier New"/>
          <w:color w:val="000000"/>
          <w:sz w:val="22"/>
        </w:rPr>
        <w:t>public boolean isChargeableOn(boolean isWeekday, boolean isWeekend, boolean isHoliday) {</w:t>
        <w:br/>
        <w:t xml:space="preserve">    if (isHoliday) return holidayCharge;</w:t>
        <w:br/>
        <w:t xml:space="preserve">    if (isWeekend) return weekendCharge;</w:t>
        <w:br/>
        <w:t xml:space="preserve">    return weekdayCharge;</w:t>
        <w:br/>
        <w:t>}</w:t>
        <w:br/>
      </w:r>
    </w:p>
    <w:p/>
    <w:p>
      <w:r>
        <w:t xml:space="preserve">This keeps charge-day logic </w:t>
      </w:r>
      <w:r>
        <w:rPr>
          <w:b/>
        </w:rPr>
        <w:t>inside the enum</w:t>
      </w:r>
      <w:r>
        <w:t xml:space="preserve"> where it belongs, rather than scattered in a service — a stronger SRP/OCP application.</w:t>
      </w:r>
    </w:p>
    <w:p/>
    <w:p/>
    <w:p>
      <w:r>
        <w:rPr>
          <w:b/>
          <w:sz w:val="28"/>
        </w:rPr>
        <w:t xml:space="preserve">3. Drop Lombok </w:t>
      </w:r>
      <w:r>
        <w:rPr>
          <w:rFonts w:ascii="Courier New" w:hAnsi="Courier New"/>
          <w:b/>
          <w:sz w:val="20"/>
        </w:rPr>
        <w:t>@Getter</w:t>
      </w:r>
    </w:p>
    <w:p/>
    <w:p>
      <w:r>
        <w:t xml:space="preserve">Since the fields are already </w:t>
      </w:r>
      <w:r>
        <w:rPr>
          <w:rFonts w:ascii="Courier New" w:hAnsi="Courier New"/>
          <w:sz w:val="20"/>
        </w:rPr>
        <w:t>final</w:t>
      </w:r>
      <w:r>
        <w:t xml:space="preserve"> and the enum is simple, you could write explicit getters or use the </w:t>
      </w:r>
      <w:r>
        <w:rPr>
          <w:rFonts w:ascii="Courier New" w:hAnsi="Courier New"/>
          <w:sz w:val="20"/>
        </w:rPr>
        <w:t>isChargeableOn</w:t>
      </w:r>
      <w:r>
        <w:t xml:space="preserve"> approach above and remove the Lombok dependency here entirely.</w:t>
      </w:r>
    </w:p>
    <w:p/>
    <w:p/>
    <w:p>
      <w:r>
        <w:rPr>
          <w:b/>
          <w:sz w:val="32"/>
        </w:rPr>
        <w:t>Key Takeaway</w:t>
      </w:r>
    </w:p>
    <w:p/>
    <w:p>
      <w:r>
        <w:t xml:space="preserve">The most impactful improvement is </w:t>
      </w:r>
      <w:r>
        <w:rPr>
          <w:b/>
        </w:rPr>
        <w:t>#2</w:t>
      </w:r>
      <w:r>
        <w:t xml:space="preserve"> — the spec requires calculating </w:t>
      </w:r>
      <w:r>
        <w:rPr>
          <w:i/>
        </w:rPr>
        <w:t>chargeable days</w:t>
      </w:r>
      <w:r>
        <w:t xml:space="preserve"> based on weekday/weekend/holiday rules, and that logic naturally belongs in </w:t>
      </w:r>
      <w:r>
        <w:rPr>
          <w:rFonts w:ascii="Courier New" w:hAnsi="Courier New"/>
          <w:sz w:val="20"/>
        </w:rPr>
        <w:t>ToolType</w:t>
      </w:r>
      <w:r>
        <w:t xml:space="preserve"> rather than a service class.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