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before="80"/>
        <w:jc w:val="center"/>
      </w:pPr>
      <w:r>
        <w:drawing>
          <wp:inline distT="0" distB="0" distL="0" distR="0">
            <wp:extent cx="3810000" cy="457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540" w:lineRule="atLeast"/>
        <w:jc w:val="center"/>
      </w:pPr>
      <w:r>
        <w:rPr>
          <w:rFonts w:ascii="Times New Roman" w:eastAsia="SimHei"/>
          <w:b/>
          <w:bCs/>
          <w:color w:val="000000"/>
          <w:sz w:val="32"/>
          <w:szCs w:val="32"/>
        </w:rPr>
        <w:t xml:space="preserve">第22届湖南省大学生计算机程序设计竞赛</w:t>
      </w:r>
    </w:p>
    <w:p>
      <w:pPr>
        <w:spacing w:line="540" w:lineRule="atLeast"/>
        <w:jc w:val="center"/>
      </w:pPr>
      <w:r>
        <w:rPr>
          <w:rFonts w:ascii="Times New Roman" w:eastAsia="SimHei"/>
          <w:b/>
          <w:bCs/>
          <w:color w:val="000000"/>
          <w:sz w:val="32"/>
          <w:szCs w:val="32"/>
        </w:rPr>
        <w:t xml:space="preserve">-----应用开发类竞赛（2026）</w:t>
      </w:r>
    </w:p>
    <w:p>
      <w:pPr>
        <w:spacing w:line="540" w:lineRule="atLeast"/>
        <w:jc w:val="center"/>
      </w:pPr>
      <w:r>
        <w:rPr>
          <w:rFonts w:ascii="Times New Roman" w:eastAsia="FangSong_GB2312"/>
          <w:b/>
          <w:bCs/>
          <w:color w:val="000000"/>
          <w:sz w:val="72"/>
          <w:szCs w:val="72"/>
        </w:rPr>
        <w:t xml:space="preserve">系</w:t>
      </w:r>
    </w:p>
    <w:p>
      <w:pPr>
        <w:spacing w:line="540" w:lineRule="atLeast"/>
        <w:jc w:val="center"/>
      </w:pPr>
      <w:r>
        <w:rPr>
          <w:rFonts w:ascii="Times New Roman" w:eastAsia="FangSong_GB2312"/>
          <w:b/>
          <w:bCs/>
          <w:color w:val="000000"/>
          <w:sz w:val="72"/>
          <w:szCs w:val="72"/>
        </w:rPr>
        <w:t xml:space="preserve">统</w:t>
      </w:r>
    </w:p>
    <w:p>
      <w:pPr>
        <w:spacing w:line="540" w:lineRule="atLeast"/>
        <w:jc w:val="center"/>
      </w:pPr>
      <w:r>
        <w:rPr>
          <w:rFonts w:ascii="Times New Roman" w:eastAsia="FangSong_GB2312"/>
          <w:b/>
          <w:bCs/>
          <w:color w:val="000000"/>
          <w:sz w:val="72"/>
          <w:szCs w:val="72"/>
        </w:rPr>
        <w:t xml:space="preserve">设</w:t>
      </w:r>
    </w:p>
    <w:p>
      <w:pPr>
        <w:spacing w:line="540" w:lineRule="atLeast"/>
        <w:jc w:val="center"/>
      </w:pPr>
      <w:r>
        <w:rPr>
          <w:rFonts w:ascii="Times New Roman" w:eastAsia="FangSong_GB2312"/>
          <w:b/>
          <w:bCs/>
          <w:color w:val="000000"/>
          <w:sz w:val="72"/>
          <w:szCs w:val="72"/>
        </w:rPr>
        <w:t xml:space="preserve">计</w:t>
      </w:r>
    </w:p>
    <w:p>
      <w:pPr>
        <w:spacing w:line="540" w:lineRule="atLeast"/>
        <w:jc w:val="center"/>
      </w:pPr>
      <w:r>
        <w:rPr>
          <w:rFonts w:ascii="Times New Roman" w:eastAsia="FangSong_GB2312"/>
          <w:b/>
          <w:bCs/>
          <w:color w:val="000000"/>
          <w:sz w:val="72"/>
          <w:szCs w:val="72"/>
        </w:rPr>
        <w:t xml:space="preserve">说</w:t>
      </w:r>
    </w:p>
    <w:p>
      <w:pPr>
        <w:spacing w:line="540" w:lineRule="atLeast"/>
        <w:jc w:val="center"/>
      </w:pPr>
      <w:r>
        <w:rPr>
          <w:rFonts w:ascii="Times New Roman" w:eastAsia="FangSong_GB2312"/>
          <w:b/>
          <w:bCs/>
          <w:color w:val="000000"/>
          <w:sz w:val="72"/>
          <w:szCs w:val="72"/>
        </w:rPr>
        <w:t xml:space="preserve">明</w:t>
      </w:r>
    </w:p>
    <w:p>
      <w:pPr>
        <w:spacing w:line="540" w:lineRule="atLeast"/>
        <w:jc w:val="center"/>
      </w:pPr>
      <w:r>
        <w:rPr>
          <w:rFonts w:ascii="Times New Roman" w:eastAsia="FangSong_GB2312"/>
          <w:b/>
          <w:bCs/>
          <w:color w:val="000000"/>
          <w:sz w:val="72"/>
          <w:szCs w:val="72"/>
        </w:rPr>
        <w:t xml:space="preserve">书</w:t>
      </w:r>
    </w:p>
    <w:p>
      <w:pPr>
        <w:spacing w:before="80" w:line="440" w:lineRule="atLeast"/>
        <w:jc w:val="center"/>
      </w:pPr>
      <w:r>
        <w:rPr>
          <w:rFonts w:ascii="Times New Roman" w:eastAsia="SimSun"/>
          <w:color w:val="000000"/>
          <w:sz w:val="30"/>
          <w:szCs w:val="30"/>
        </w:rPr>
        <w:t xml:space="preserve">作品名称：</w:t>
      </w:r>
      <w:r>
        <w:rPr>
          <w:rFonts w:ascii="Times New Roman" w:eastAsia="SimHei"/>
          <w:b/>
          <w:bCs/>
          <w:color w:val="000000"/>
          <w:sz w:val="32"/>
          <w:szCs w:val="32"/>
          <w:u w:val="single"/>
        </w:rPr>
        <w:t xml:space="preserve">码安管家——LLM驱动的漏洞分析站</w:t>
      </w:r>
    </w:p>
    <w:p>
      <w:pPr>
        <w:spacing w:before="80" w:line="440" w:lineRule="atLeast"/>
        <w:jc w:val="center"/>
      </w:pPr>
      <w:r>
        <w:rPr>
          <w:rFonts w:ascii="Times New Roman" w:eastAsia="SimSun"/>
          <w:color w:val="000000"/>
          <w:sz w:val="30"/>
          <w:szCs w:val="30"/>
        </w:rPr>
        <w:t xml:space="preserve">作品类别：</w:t>
      </w:r>
      <w:r>
        <w:rPr>
          <w:rFonts w:ascii="Times New Roman" w:eastAsia="SimHei"/>
          <w:b/>
          <w:bCs/>
          <w:color w:val="000000"/>
          <w:sz w:val="32"/>
          <w:szCs w:val="32"/>
          <w:u w:val="single"/>
        </w:rPr>
        <w:t xml:space="preserve">信息安全类</w:t>
      </w:r>
    </w:p>
    <w:p>
      <w:pPr>
        <w:spacing w:before="80" w:line="440" w:lineRule="atLeast"/>
        <w:jc w:val="center"/>
      </w:pPr>
      <w:r>
        <w:rPr>
          <w:rFonts w:ascii="Times New Roman" w:eastAsia="SimSun"/>
          <w:color w:val="000000"/>
          <w:sz w:val="30"/>
          <w:szCs w:val="30"/>
        </w:rPr>
        <w:t xml:space="preserve">作　　者：</w:t>
      </w:r>
      <w:r>
        <w:rPr>
          <w:rFonts w:ascii="Times New Roman" w:eastAsia="SimHei"/>
          <w:b/>
          <w:bCs/>
          <w:color w:val="000000"/>
          <w:sz w:val="32"/>
          <w:szCs w:val="32"/>
          <w:u w:val="single"/>
        </w:rPr>
        <w:t xml:space="preserve">白明耀、易卓玥、谭依晴</w:t>
      </w:r>
    </w:p>
    <w:p>
      <w:pPr>
        <w:spacing w:before="80" w:line="440" w:lineRule="atLeast"/>
        <w:jc w:val="center"/>
      </w:pPr>
      <w:r>
        <w:rPr>
          <w:rFonts w:ascii="Times New Roman" w:eastAsia="SimSun"/>
          <w:color w:val="000000"/>
          <w:sz w:val="30"/>
          <w:szCs w:val="30"/>
        </w:rPr>
        <w:t xml:space="preserve">指导老师：</w:t>
      </w:r>
      <w:r>
        <w:rPr>
          <w:rFonts w:ascii="Times New Roman" w:eastAsia="SimHei"/>
          <w:b/>
          <w:bCs/>
          <w:color w:val="000000"/>
          <w:sz w:val="32"/>
          <w:szCs w:val="32"/>
          <w:u w:val="single"/>
        </w:rPr>
        <w:t xml:space="preserve">陈纪友</w:t>
      </w:r>
    </w:p>
    <w:p>
      <w:pPr>
        <w:spacing w:before="80" w:line="440" w:lineRule="atLeast"/>
        <w:jc w:val="center"/>
      </w:pPr>
      <w:r>
        <w:rPr>
          <w:rFonts w:ascii="Times New Roman" w:eastAsia="SimSun"/>
          <w:color w:val="000000"/>
          <w:sz w:val="30"/>
          <w:szCs w:val="30"/>
        </w:rPr>
        <w:t xml:space="preserve">单　　位：</w:t>
      </w:r>
      <w:r>
        <w:rPr>
          <w:rFonts w:ascii="Times New Roman" w:eastAsia="SimHei"/>
          <w:b/>
          <w:bCs/>
          <w:color w:val="000000"/>
          <w:sz w:val="32"/>
          <w:szCs w:val="32"/>
          <w:u w:val="single"/>
        </w:rPr>
        <w:t xml:space="preserve">衡阳师范学院</w:t>
      </w:r>
    </w:p>
    <w:p>
      <w:pPr>
        <w:spacing w:before="160" w:line="360" w:lineRule="atLeast"/>
        <w:jc w:val="center"/>
      </w:pPr>
      <w:r>
        <w:rPr>
          <w:rFonts w:ascii="Times New Roman" w:eastAsia="SimSun"/>
          <w:color w:val="000000"/>
          <w:sz w:val="30"/>
          <w:szCs w:val="30"/>
        </w:rPr>
        <w:t xml:space="preserve">二零二六年九月</w:t>
      </w:r>
    </w:p>
    <w:p>
      <w:pPr>
        <w:sectPr>
          <w:pgSz w:w="11906" w:h="16838" w:orient="portrait"/>
          <w:pgMar w:top="1440" w:right="1417" w:bottom="1440" w:left="1701" w:header="708" w:footer="708" w:gutter="0"/>
          <w:docGrid w:linePitch="360"/>
        </w:sectPr>
      </w:pPr>
    </w:p>
    <w:p>
      <w:pPr>
        <w:spacing w:after="300" w:before="240"/>
        <w:jc w:val="center"/>
      </w:pPr>
      <w:r>
        <w:rPr>
          <w:rFonts w:ascii="Times New Roman" w:eastAsia="SimHei"/>
          <w:b/>
          <w:bCs/>
          <w:color w:val="000000"/>
          <w:sz w:val="32"/>
          <w:szCs w:val="32"/>
        </w:rPr>
        <w:t xml:space="preserve">目  录</w:t>
      </w:r>
    </w:p>
    <w:sdt>
      <w:sdtPr>
        <w:alias w:val="目录"/>
      </w:sdtPr>
      <w:sdtContent>
        <w:p>
          <w:r>
            <w:fldChar w:fldCharType="begin" w:dirty="true"/>
          </w:r>
          <w:r>
            <w:instrText xml:space="preserve">TOC \h \o "1-3"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1  项目概述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1.1  作品名称与定位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1.2  开发背景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1.3  目标用户与使用场景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1.4  术语与缩略语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2  功能需求说明书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6" w:history="1">
            <w:r>
              <w:rPr>
                <w:rStyle w:val="Hyperlink"/>
              </w:rPr>
              <w:t>2.1  功能总览</w:t>
            </w:r>
            <w:r>
              <w:tab/>
            </w:r>
            <w:r>
              <w:fldChar w:fldCharType="begin"/>
            </w:r>
            <w:r>
              <w:instrText xml:space="preserve"> PAGEREF _Toc100006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7" w:history="1">
            <w:r>
              <w:rPr>
                <w:rStyle w:val="Hyperlink"/>
              </w:rPr>
              <w:t>2.2  核心扫描任务</w:t>
            </w:r>
            <w:r>
              <w:tab/>
            </w:r>
            <w:r>
              <w:fldChar w:fldCharType="begin"/>
            </w:r>
            <w:r>
              <w:instrText xml:space="preserve"> PAGEREF _Toc100007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08" w:history="1">
            <w:r>
              <w:rPr>
                <w:rStyle w:val="Hyperlink"/>
              </w:rPr>
              <w:t>2.2.1  任务 A：扫描代码片段或单个文件</w:t>
            </w:r>
            <w:r>
              <w:tab/>
            </w:r>
            <w:r>
              <w:fldChar w:fldCharType="begin"/>
            </w:r>
            <w:r>
              <w:instrText xml:space="preserve"> PAGEREF _Toc100008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09" w:history="1">
            <w:r>
              <w:rPr>
                <w:rStyle w:val="Hyperlink"/>
              </w:rPr>
              <w:t>2.2.2  任务 B：批量扫描项目并导出报告</w:t>
            </w:r>
            <w:r>
              <w:tab/>
            </w:r>
            <w:r>
              <w:fldChar w:fldCharType="begin"/>
            </w:r>
            <w:r>
              <w:instrText xml:space="preserve"> PAGEREF _Toc100009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2"/>
            <w:ind w:left="720"/>
            <w:tabs>
              <w:tab w:val="right" w:leader="dot" w:pos="9026"/>
            </w:tabs>
            <w:spacing w:before="120" w:after="60"/>
          </w:pPr>
          <w:hyperlink w:anchor="_Toc100010" w:history="1">
            <w:r>
              <w:rPr>
                <w:rStyle w:val="Hyperlink"/>
              </w:rPr>
              <w:t>2.2.3  任务 C：扫描 GitHub 仓库或网页</w:t>
            </w:r>
            <w:r>
              <w:tab/>
            </w:r>
            <w:r>
              <w:fldChar w:fldCharType="begin"/>
            </w:r>
            <w:r>
              <w:instrText xml:space="preserve"> PAGEREF _Toc100010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1" w:history="1">
            <w:r>
              <w:rPr>
                <w:rStyle w:val="Hyperlink"/>
              </w:rPr>
              <w:t>2.3  扫描结果与判定语义</w:t>
            </w:r>
            <w:r>
              <w:tab/>
            </w:r>
            <w:r>
              <w:fldChar w:fldCharType="begin"/>
            </w:r>
            <w:r>
              <w:instrText xml:space="preserve"> PAGEREF _Toc100011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2" w:history="1">
            <w:r>
              <w:rPr>
                <w:rStyle w:val="Hyperlink"/>
              </w:rPr>
              <w:t>2.4  编辑器插件功能</w:t>
            </w:r>
            <w:r>
              <w:tab/>
            </w:r>
            <w:r>
              <w:fldChar w:fldCharType="begin"/>
            </w:r>
            <w:r>
              <w:instrText xml:space="preserve"> PAGEREF _Toc100012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3" w:history="1">
            <w:r>
              <w:rPr>
                <w:rStyle w:val="Hyperlink"/>
              </w:rPr>
              <w:t>2.5  命令行功能</w:t>
            </w:r>
            <w:r>
              <w:tab/>
            </w:r>
            <w:r>
              <w:fldChar w:fldCharType="begin"/>
            </w:r>
            <w:r>
              <w:instrText xml:space="preserve"> PAGEREF _Toc100013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4" w:history="1">
            <w:r>
              <w:rPr>
                <w:rStyle w:val="Hyperlink"/>
              </w:rPr>
              <w:t>2.6  模型管理与离线能力</w:t>
            </w:r>
            <w:r>
              <w:tab/>
            </w:r>
            <w:r>
              <w:fldChar w:fldCharType="begin"/>
            </w:r>
            <w:r>
              <w:instrText xml:space="preserve"> PAGEREF _Toc100014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5" w:history="1">
            <w:r>
              <w:rPr>
                <w:rStyle w:val="Hyperlink"/>
              </w:rPr>
              <w:t>2.7  非功能需求</w:t>
            </w:r>
            <w:r>
              <w:tab/>
            </w:r>
            <w:r>
              <w:fldChar w:fldCharType="begin"/>
            </w:r>
            <w:r>
              <w:instrText xml:space="preserve"> PAGEREF _Toc100015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6" w:history="1">
            <w:r>
              <w:rPr>
                <w:rStyle w:val="Hyperlink"/>
              </w:rPr>
              <w:t>3  概要设计说明书</w:t>
            </w:r>
            <w:r>
              <w:tab/>
            </w:r>
            <w:r>
              <w:fldChar w:fldCharType="begin"/>
            </w:r>
            <w:r>
              <w:instrText xml:space="preserve"> PAGEREF _Toc100016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7" w:history="1">
            <w:r>
              <w:rPr>
                <w:rStyle w:val="Hyperlink"/>
              </w:rPr>
              <w:t>3.1  总体架构</w:t>
            </w:r>
            <w:r>
              <w:tab/>
            </w:r>
            <w:r>
              <w:fldChar w:fldCharType="begin"/>
            </w:r>
            <w:r>
              <w:instrText xml:space="preserve"> PAGEREF _Toc100017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8" w:history="1">
            <w:r>
              <w:rPr>
                <w:rStyle w:val="Hyperlink"/>
              </w:rPr>
              <w:t>3.2  模块划分</w:t>
            </w:r>
            <w:r>
              <w:tab/>
            </w:r>
            <w:r>
              <w:fldChar w:fldCharType="begin"/>
            </w:r>
            <w:r>
              <w:instrText xml:space="preserve"> PAGEREF _Toc100018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9" w:history="1">
            <w:r>
              <w:rPr>
                <w:rStyle w:val="Hyperlink"/>
              </w:rPr>
              <w:t>3.3  扫描引擎主线</w:t>
            </w:r>
            <w:r>
              <w:tab/>
            </w:r>
            <w:r>
              <w:fldChar w:fldCharType="begin"/>
            </w:r>
            <w:r>
              <w:instrText xml:space="preserve"> PAGEREF _Toc100019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0" w:history="1">
            <w:r>
              <w:rPr>
                <w:rStyle w:val="Hyperlink"/>
              </w:rPr>
              <w:t>3.4  接口设计</w:t>
            </w:r>
            <w:r>
              <w:tab/>
            </w:r>
            <w:r>
              <w:fldChar w:fldCharType="begin"/>
            </w:r>
            <w:r>
              <w:instrText xml:space="preserve"> PAGEREF _Toc100020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1" w:history="1">
            <w:r>
              <w:rPr>
                <w:rStyle w:val="Hyperlink"/>
              </w:rPr>
              <w:t>3.5  部署形态与运行环境</w:t>
            </w:r>
            <w:r>
              <w:tab/>
            </w:r>
            <w:r>
              <w:fldChar w:fldCharType="begin"/>
            </w:r>
            <w:r>
              <w:instrText xml:space="preserve"> PAGEREF _Toc100021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2" w:history="1">
            <w:r>
              <w:rPr>
                <w:rStyle w:val="Hyperlink"/>
              </w:rPr>
              <w:t>3.6  效果指标</w:t>
            </w:r>
            <w:r>
              <w:tab/>
            </w:r>
            <w:r>
              <w:fldChar w:fldCharType="begin"/>
            </w:r>
            <w:r>
              <w:instrText xml:space="preserve"> PAGEREF _Toc100022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3" w:history="1">
            <w:r>
              <w:rPr>
                <w:rStyle w:val="Hyperlink"/>
              </w:rPr>
              <w:t>4  详细设计说明书</w:t>
            </w:r>
            <w:r>
              <w:tab/>
            </w:r>
            <w:r>
              <w:fldChar w:fldCharType="begin"/>
            </w:r>
            <w:r>
              <w:instrText xml:space="preserve"> PAGEREF _Toc100023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4" w:history="1">
            <w:r>
              <w:rPr>
                <w:rStyle w:val="Hyperlink"/>
              </w:rPr>
              <w:t>4.1  Stage 1 工具召回设计</w:t>
            </w:r>
            <w:r>
              <w:tab/>
            </w:r>
            <w:r>
              <w:fldChar w:fldCharType="begin"/>
            </w:r>
            <w:r>
              <w:instrText xml:space="preserve"> PAGEREF _Toc100024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5" w:history="1">
            <w:r>
              <w:rPr>
                <w:rStyle w:val="Hyperlink"/>
              </w:rPr>
              <w:t>4.2  Stage 2 封闭裁决设计</w:t>
            </w:r>
            <w:r>
              <w:tab/>
            </w:r>
            <w:r>
              <w:fldChar w:fldCharType="begin"/>
            </w:r>
            <w:r>
              <w:instrText xml:space="preserve"> PAGEREF _Toc100025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6" w:history="1">
            <w:r>
              <w:rPr>
                <w:rStyle w:val="Hyperlink"/>
              </w:rPr>
              <w:t>4.3  2.5 代信任层</w:t>
            </w:r>
            <w:r>
              <w:tab/>
            </w:r>
            <w:r>
              <w:fldChar w:fldCharType="begin"/>
            </w:r>
            <w:r>
              <w:instrText xml:space="preserve"> PAGEREF _Toc100026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7" w:history="1">
            <w:r>
              <w:rPr>
                <w:rStyle w:val="Hyperlink"/>
              </w:rPr>
              <w:t>4.4  复核兜底三出口</w:t>
            </w:r>
            <w:r>
              <w:tab/>
            </w:r>
            <w:r>
              <w:fldChar w:fldCharType="begin"/>
            </w:r>
            <w:r>
              <w:instrText xml:space="preserve"> PAGEREF _Toc100027 \h </w:instrText>
            </w:r>
            <w:r>
              <w:fldChar w:fldCharType="separate"/>
            </w:r>
            <w:r>
              <w:t>15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8" w:history="1">
            <w:r>
              <w:rPr>
                <w:rStyle w:val="Hyperlink"/>
              </w:rPr>
              <w:t>4.5  关键工程机制</w:t>
            </w:r>
            <w:r>
              <w:tab/>
            </w:r>
            <w:r>
              <w:fldChar w:fldCharType="begin"/>
            </w:r>
            <w:r>
              <w:instrText xml:space="preserve"> PAGEREF _Toc100028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9" w:history="1">
            <w:r>
              <w:rPr>
                <w:rStyle w:val="Hyperlink"/>
              </w:rPr>
              <w:t>4.6  设计依据与选型论证</w:t>
            </w:r>
            <w:r>
              <w:tab/>
            </w:r>
            <w:r>
              <w:fldChar w:fldCharType="begin"/>
            </w:r>
            <w:r>
              <w:instrText xml:space="preserve"> PAGEREF _Toc100029 \h </w:instrText>
            </w:r>
            <w:r>
              <w:fldChar w:fldCharType="separate"/>
            </w:r>
            <w:r>
              <w:t>16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30" w:history="1">
            <w:r>
              <w:rPr>
                <w:rStyle w:val="Hyperlink"/>
              </w:rPr>
              <w:t>5  数据存储设计</w:t>
            </w:r>
            <w:r>
              <w:tab/>
            </w:r>
            <w:r>
              <w:fldChar w:fldCharType="begin"/>
            </w:r>
            <w:r>
              <w:instrText xml:space="preserve"> PAGEREF _Toc100030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1" w:history="1">
            <w:r>
              <w:rPr>
                <w:rStyle w:val="Hyperlink"/>
              </w:rPr>
              <w:t>5.1  总体说明</w:t>
            </w:r>
            <w:r>
              <w:tab/>
            </w:r>
            <w:r>
              <w:fldChar w:fldCharType="begin"/>
            </w:r>
            <w:r>
              <w:instrText xml:space="preserve"> PAGEREF _Toc100031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2" w:history="1">
            <w:r>
              <w:rPr>
                <w:rStyle w:val="Hyperlink"/>
              </w:rPr>
              <w:t>5.2  文件存储</w:t>
            </w:r>
            <w:r>
              <w:tab/>
            </w:r>
            <w:r>
              <w:fldChar w:fldCharType="begin"/>
            </w:r>
            <w:r>
              <w:instrText xml:space="preserve"> PAGEREF _Toc100032 \h </w:instrText>
            </w:r>
            <w:r>
              <w:fldChar w:fldCharType="separate"/>
            </w:r>
            <w:r>
              <w:t>17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3" w:history="1">
            <w:r>
              <w:rPr>
                <w:rStyle w:val="Hyperlink"/>
              </w:rPr>
              <w:t>5.3  向量知识库</w:t>
            </w:r>
            <w:r>
              <w:tab/>
            </w:r>
            <w:r>
              <w:fldChar w:fldCharType="begin"/>
            </w:r>
            <w:r>
              <w:instrText xml:space="preserve"> PAGEREF _Toc100033 \h 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4" w:history="1">
            <w:r>
              <w:rPr>
                <w:rStyle w:val="Hyperlink"/>
              </w:rPr>
              <w:t>5.4  前端持久化</w:t>
            </w:r>
            <w:r>
              <w:tab/>
            </w:r>
            <w:r>
              <w:fldChar w:fldCharType="begin"/>
            </w:r>
            <w:r>
              <w:instrText xml:space="preserve"> PAGEREF _Toc100034 \h 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5" w:history="1">
            <w:r>
              <w:rPr>
                <w:rStyle w:val="Hyperlink"/>
              </w:rPr>
              <w:t>5.5  数据生命周期</w:t>
            </w:r>
            <w:r>
              <w:tab/>
            </w:r>
            <w:r>
              <w:fldChar w:fldCharType="begin"/>
            </w:r>
            <w:r>
              <w:instrText xml:space="preserve"> PAGEREF _Toc100035 \h </w:instrText>
            </w:r>
            <w:r>
              <w:fldChar w:fldCharType="separate"/>
            </w:r>
            <w:r>
              <w:t>18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36" w:history="1">
            <w:r>
              <w:rPr>
                <w:rStyle w:val="Hyperlink"/>
              </w:rPr>
              <w:t>6  软件界面设计书</w:t>
            </w:r>
            <w:r>
              <w:tab/>
            </w:r>
            <w:r>
              <w:fldChar w:fldCharType="begin"/>
            </w:r>
            <w:r>
              <w:instrText xml:space="preserve"> PAGEREF _Toc100036 \h </w:instrText>
            </w:r>
            <w:r>
              <w:fldChar w:fldCharType="separate"/>
            </w:r>
            <w:r>
              <w:t>19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7" w:history="1">
            <w:r>
              <w:rPr>
                <w:rStyle w:val="Hyperlink"/>
              </w:rPr>
              <w:t>6.1  设计系统</w:t>
            </w:r>
            <w:r>
              <w:tab/>
            </w:r>
            <w:r>
              <w:fldChar w:fldCharType="begin"/>
            </w:r>
            <w:r>
              <w:instrText xml:space="preserve"> PAGEREF _Toc100037 \h </w:instrText>
            </w:r>
            <w:r>
              <w:fldChar w:fldCharType="separate"/>
            </w:r>
            <w:r>
              <w:t>19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8" w:history="1">
            <w:r>
              <w:rPr>
                <w:rStyle w:val="Hyperlink"/>
              </w:rPr>
              <w:t>6.2  信息架构与页面清单</w:t>
            </w:r>
            <w:r>
              <w:tab/>
            </w:r>
            <w:r>
              <w:fldChar w:fldCharType="begin"/>
            </w:r>
            <w:r>
              <w:instrText xml:space="preserve"> PAGEREF _Toc100038 \h </w:instrText>
            </w:r>
            <w:r>
              <w:fldChar w:fldCharType="separate"/>
            </w:r>
            <w:r>
              <w:t>19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9" w:history="1">
            <w:r>
              <w:rPr>
                <w:rStyle w:val="Hyperlink"/>
              </w:rPr>
              <w:t>6.3  界面总览</w:t>
            </w:r>
            <w:r>
              <w:tab/>
            </w:r>
            <w:r>
              <w:fldChar w:fldCharType="begin"/>
            </w:r>
            <w:r>
              <w:instrText xml:space="preserve"> PAGEREF _Toc100039 \h </w:instrText>
            </w:r>
            <w:r>
              <w:fldChar w:fldCharType="separate"/>
            </w:r>
            <w:r>
              <w:t>19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0" w:history="1">
            <w:r>
              <w:rPr>
                <w:rStyle w:val="Hyperlink"/>
              </w:rPr>
              <w:t>6.4  关键交互</w:t>
            </w:r>
            <w:r>
              <w:tab/>
            </w:r>
            <w:r>
              <w:fldChar w:fldCharType="begin"/>
            </w:r>
            <w:r>
              <w:instrText xml:space="preserve"> PAGEREF _Toc100040 \h </w:instrText>
            </w:r>
            <w:r>
              <w:fldChar w:fldCharType="separate"/>
            </w:r>
            <w:r>
              <w:t>23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41" w:history="1">
            <w:r>
              <w:rPr>
                <w:rStyle w:val="Hyperlink"/>
              </w:rPr>
              <w:t>7  用户操作手册</w:t>
            </w:r>
            <w:r>
              <w:tab/>
            </w:r>
            <w:r>
              <w:fldChar w:fldCharType="begin"/>
            </w:r>
            <w:r>
              <w:instrText xml:space="preserve"> PAGEREF _Toc100041 \h </w:instrText>
            </w:r>
            <w:r>
              <w:fldChar w:fldCharType="separate"/>
            </w:r>
            <w:r>
              <w:t>24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2" w:history="1">
            <w:r>
              <w:rPr>
                <w:rStyle w:val="Hyperlink"/>
              </w:rPr>
              <w:t>7.1  三个最常用的任务</w:t>
            </w:r>
            <w:r>
              <w:tab/>
            </w:r>
            <w:r>
              <w:fldChar w:fldCharType="begin"/>
            </w:r>
            <w:r>
              <w:instrText xml:space="preserve"> PAGEREF _Toc100042 \h </w:instrText>
            </w:r>
            <w:r>
              <w:fldChar w:fldCharType="separate"/>
            </w:r>
            <w:r>
              <w:t>24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3" w:history="1">
            <w:r>
              <w:rPr>
                <w:rStyle w:val="Hyperlink"/>
              </w:rPr>
              <w:t>7.2  读懂扫描结果</w:t>
            </w:r>
            <w:r>
              <w:tab/>
            </w:r>
            <w:r>
              <w:fldChar w:fldCharType="begin"/>
            </w:r>
            <w:r>
              <w:instrText xml:space="preserve"> PAGEREF _Toc100043 \h </w:instrText>
            </w:r>
            <w:r>
              <w:fldChar w:fldCharType="separate"/>
            </w:r>
            <w:r>
              <w:t>24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4" w:history="1">
            <w:r>
              <w:rPr>
                <w:rStyle w:val="Hyperlink"/>
              </w:rPr>
              <w:t>7.3  Web 界面导览</w:t>
            </w:r>
            <w:r>
              <w:tab/>
            </w:r>
            <w:r>
              <w:fldChar w:fldCharType="begin"/>
            </w:r>
            <w:r>
              <w:instrText xml:space="preserve"> PAGEREF _Toc100044 \h </w:instrText>
            </w:r>
            <w:r>
              <w:fldChar w:fldCharType="separate"/>
            </w:r>
            <w:r>
              <w:t>24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5" w:history="1">
            <w:r>
              <w:rPr>
                <w:rStyle w:val="Hyperlink"/>
              </w:rPr>
              <w:t>7.4  在编辑器里使用</w:t>
            </w:r>
            <w:r>
              <w:tab/>
            </w:r>
            <w:r>
              <w:fldChar w:fldCharType="begin"/>
            </w:r>
            <w:r>
              <w:instrText xml:space="preserve"> PAGEREF _Toc100045 \h </w:instrText>
            </w:r>
            <w:r>
              <w:fldChar w:fldCharType="separate"/>
            </w:r>
            <w:r>
              <w:t>24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6" w:history="1">
            <w:r>
              <w:rPr>
                <w:rStyle w:val="Hyperlink"/>
              </w:rPr>
              <w:t>7.5  命令行使用</w:t>
            </w:r>
            <w:r>
              <w:tab/>
            </w:r>
            <w:r>
              <w:fldChar w:fldCharType="begin"/>
            </w:r>
            <w:r>
              <w:instrText xml:space="preserve"> PAGEREF _Toc100046 \h </w:instrText>
            </w:r>
            <w:r>
              <w:fldChar w:fldCharType="separate"/>
            </w:r>
            <w:r>
              <w:t>25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7" w:history="1">
            <w:r>
              <w:rPr>
                <w:rStyle w:val="Hyperlink"/>
              </w:rPr>
              <w:t>7.6  离线使用与模型管理</w:t>
            </w:r>
            <w:r>
              <w:tab/>
            </w:r>
            <w:r>
              <w:fldChar w:fldCharType="begin"/>
            </w:r>
            <w:r>
              <w:instrText xml:space="preserve"> PAGEREF _Toc100047 \h </w:instrText>
            </w:r>
            <w:r>
              <w:fldChar w:fldCharType="separate"/>
            </w:r>
            <w:r>
              <w:t>25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48" w:history="1">
            <w:r>
              <w:rPr>
                <w:rStyle w:val="Hyperlink"/>
              </w:rPr>
              <w:t>7.7  常见问题与处理</w:t>
            </w:r>
            <w:r>
              <w:tab/>
            </w:r>
            <w:r>
              <w:fldChar w:fldCharType="begin"/>
            </w:r>
            <w:r>
              <w:instrText xml:space="preserve"> PAGEREF _Toc100048 \h </w:instrText>
            </w:r>
            <w:r>
              <w:fldChar w:fldCharType="separate"/>
            </w:r>
            <w:r>
              <w:t>25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49" w:history="1">
            <w:r>
              <w:rPr>
                <w:rStyle w:val="Hyperlink"/>
              </w:rPr>
              <w:t>8  安装手册</w:t>
            </w:r>
            <w:r>
              <w:tab/>
            </w:r>
            <w:r>
              <w:fldChar w:fldCharType="begin"/>
            </w:r>
            <w:r>
              <w:instrText xml:space="preserve"> PAGEREF _Toc100049 \h </w:instrText>
            </w:r>
            <w:r>
              <w:fldChar w:fldCharType="separate"/>
            </w:r>
            <w:r>
              <w:t>26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50" w:history="1">
            <w:r>
              <w:rPr>
                <w:rStyle w:val="Hyperlink"/>
              </w:rPr>
              <w:t>8.1  环境要求</w:t>
            </w:r>
            <w:r>
              <w:tab/>
            </w:r>
            <w:r>
              <w:fldChar w:fldCharType="begin"/>
            </w:r>
            <w:r>
              <w:instrText xml:space="preserve"> PAGEREF _Toc100050 \h </w:instrText>
            </w:r>
            <w:r>
              <w:fldChar w:fldCharType="separate"/>
            </w:r>
            <w:r>
              <w:t>26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51" w:history="1">
            <w:r>
              <w:rPr>
                <w:rStyle w:val="Hyperlink"/>
              </w:rPr>
              <w:t>8.2  获取与一键启动</w:t>
            </w:r>
            <w:r>
              <w:tab/>
            </w:r>
            <w:r>
              <w:fldChar w:fldCharType="begin"/>
            </w:r>
            <w:r>
              <w:instrText xml:space="preserve"> PAGEREF _Toc100051 \h </w:instrText>
            </w:r>
            <w:r>
              <w:fldChar w:fldCharType="separate"/>
            </w:r>
            <w:r>
              <w:t>26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52" w:history="1">
            <w:r>
              <w:rPr>
                <w:rStyle w:val="Hyperlink"/>
              </w:rPr>
              <w:t>8.3  首次启动流程</w:t>
            </w:r>
            <w:r>
              <w:tab/>
            </w:r>
            <w:r>
              <w:fldChar w:fldCharType="begin"/>
            </w:r>
            <w:r>
              <w:instrText xml:space="preserve"> PAGEREF _Toc100052 \h </w:instrText>
            </w:r>
            <w:r>
              <w:fldChar w:fldCharType="separate"/>
            </w:r>
            <w:r>
              <w:t>26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53" w:history="1">
            <w:r>
              <w:rPr>
                <w:rStyle w:val="Hyperlink"/>
              </w:rPr>
              <w:t>8.4  确认安装成功</w:t>
            </w:r>
            <w:r>
              <w:tab/>
            </w:r>
            <w:r>
              <w:fldChar w:fldCharType="begin"/>
            </w:r>
            <w:r>
              <w:instrText xml:space="preserve"> PAGEREF _Toc100053 \h </w:instrText>
            </w:r>
            <w:r>
              <w:fldChar w:fldCharType="separate"/>
            </w:r>
            <w:r>
              <w:t>27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54" w:history="1">
            <w:r>
              <w:rPr>
                <w:rStyle w:val="Hyperlink"/>
              </w:rPr>
              <w:t>8.5  卸载</w:t>
            </w:r>
            <w:r>
              <w:tab/>
            </w:r>
            <w:r>
              <w:fldChar w:fldCharType="begin"/>
            </w:r>
            <w:r>
              <w:instrText xml:space="preserve"> PAGEREF _Toc100054 \h </w:instrText>
            </w:r>
            <w:r>
              <w:fldChar w:fldCharType="separate"/>
            </w:r>
            <w:r>
              <w:t>27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55" w:history="1">
            <w:r>
              <w:rPr>
                <w:rStyle w:val="Hyperlink"/>
              </w:rPr>
              <w:t>附录</w:t>
            </w:r>
            <w:r>
              <w:tab/>
            </w:r>
            <w:r>
              <w:fldChar w:fldCharType="begin"/>
            </w:r>
            <w:r>
              <w:instrText xml:space="preserve"> PAGEREF _Toc100055 \h </w:instrText>
            </w:r>
            <w:r>
              <w:fldChar w:fldCharType="separate"/>
            </w:r>
            <w:r>
              <w:t>27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56" w:history="1">
            <w:r>
              <w:rPr>
                <w:rStyle w:val="Hyperlink"/>
              </w:rPr>
              <w:t>附录 A  命令行速查</w:t>
            </w:r>
            <w:r>
              <w:tab/>
            </w:r>
            <w:r>
              <w:fldChar w:fldCharType="begin"/>
            </w:r>
            <w:r>
              <w:instrText xml:space="preserve"> PAGEREF _Toc100056 \h </w:instrText>
            </w:r>
            <w:r>
              <w:fldChar w:fldCharType="separate"/>
            </w:r>
            <w:r>
              <w:t>27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57" w:history="1">
            <w:r>
              <w:rPr>
                <w:rStyle w:val="Hyperlink"/>
              </w:rPr>
              <w:t>附录 B  输入限制与支持范围</w:t>
            </w:r>
            <w:r>
              <w:tab/>
            </w:r>
            <w:r>
              <w:fldChar w:fldCharType="begin"/>
            </w:r>
            <w:r>
              <w:instrText xml:space="preserve"> PAGEREF _Toc100057 \h </w:instrText>
            </w:r>
            <w:r>
              <w:fldChar w:fldCharType="separate"/>
            </w:r>
            <w:r>
              <w:t>28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58" w:history="1">
            <w:r>
              <w:rPr>
                <w:rStyle w:val="Hyperlink"/>
              </w:rPr>
              <w:t>附录 C  排查速查</w:t>
            </w:r>
            <w:r>
              <w:tab/>
            </w:r>
            <w:r>
              <w:fldChar w:fldCharType="begin"/>
            </w:r>
            <w:r>
              <w:instrText xml:space="preserve"> PAGEREF _Toc100058 \h </w:instrText>
            </w:r>
            <w:r>
              <w:fldChar w:fldCharType="separate"/>
            </w:r>
            <w:r>
              <w:t>28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before="200"/>
      </w:pPr>
      <w:r>
        <w:rPr>
          <w:rFonts w:ascii="Times New Roman" w:eastAsia="KaiTi"/>
          <w:i/>
          <w:iCs/>
          <w:color w:val="888888"/>
          <w:sz w:val="18"/>
          <w:szCs w:val="18"/>
        </w:rPr>
        <w:t xml:space="preserve">注：本目录由域代码生成。编辑后如需更新页码，请在目录上右键选择「更新域」。</w:t>
      </w:r>
    </w:p>
    <w:p>
      <w:pPr>
        <w:sectPr>
          <w:footerReference w:type="default" r:id="rId7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</w:p>
    <w:p>
      <w:pPr>
        <w:pStyle w:val="Heading1"/>
        <w:spacing w:after="200" w:before="360" w:line="380" w:lineRule="atLeast"/>
      </w:pPr>
      <w:bookmarkStart w:id="100000" w:name="_Toc100000"/>
      <w:r>
        <w:rPr>
          <w:rFonts w:ascii="Times New Roman" w:eastAsia="SimHei"/>
          <w:b/>
          <w:bCs/>
          <w:color w:val="000000"/>
          <w:sz w:val="32"/>
          <w:szCs w:val="32"/>
        </w:rPr>
        <w:t xml:space="preserve">1  项目概述</w:t>
      </w:r>
      <w:bookmarkEnd w:id="100000"/>
    </w:p>
    <w:p>
      <w:pPr>
        <w:pStyle w:val="Heading2"/>
        <w:spacing w:after="140" w:before="280" w:line="360" w:lineRule="atLeast"/>
      </w:pPr>
      <w:bookmarkStart w:id="100001" w:name="_Toc100001"/>
      <w:r>
        <w:rPr>
          <w:rFonts w:ascii="Times New Roman" w:eastAsia="SimHei"/>
          <w:b/>
          <w:bCs/>
          <w:color w:val="000000"/>
          <w:sz w:val="30"/>
          <w:szCs w:val="30"/>
        </w:rPr>
        <w:t xml:space="preserve">1.1  作品名称与定位</w:t>
      </w:r>
      <w:bookmarkEnd w:id="100001"/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本作品名称为「码安管家——LLM驱动的漏洞分析站」，参赛类别为信息安全类。软件发布名「凿凿（ZaoZao）」，取「言之凿凿」之意——每一个漏洞结论都必须附带可核对的证据链；其内核引擎代号为 Nivis（正文所称引擎、模型系列名均沿用此代号）。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凿凿是一套完全运行在用户本机电脑上的 AI 代码漏洞扫描系统。它的基本工作方式是：传统安全工具（Semgrep、Bandit、Gitleaks、Trivy 等）负责快速召回可疑点，本地部署的大语言模型再对每一个可疑点做语义裁决——它是不是真实漏洞、属于哪一类 CWE、如何修复。相比规则型工具，它能看懂数据流、识别有效防御、解释漏洞成因；相比云端智能服务，它的代码、模型与知识库全部留在本机，运行期可完全离线，代码不出门。</w:t>
      </w:r>
    </w:p>
    <w:p>
      <w:pPr>
        <w:pStyle w:val="Heading2"/>
        <w:spacing w:after="140" w:before="280" w:line="360" w:lineRule="atLeast"/>
      </w:pPr>
      <w:bookmarkStart w:id="100002" w:name="_Toc100002"/>
      <w:r>
        <w:rPr>
          <w:rFonts w:ascii="Times New Roman" w:eastAsia="SimHei"/>
          <w:b/>
          <w:bCs/>
          <w:color w:val="000000"/>
          <w:sz w:val="30"/>
          <w:szCs w:val="30"/>
        </w:rPr>
        <w:t xml:space="preserve">1.2  开发背景</w:t>
      </w:r>
      <w:bookmarkEnd w:id="100002"/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软件安全漏洞造成的损失持续扩大。IBM《2024 年数据泄露成本报告》显示，全球单次数据泄露事件平均损失达 488 万美元，较上一年增长 10%；中国国家互联网应急中心（CNCERT）发布的《2024 年上半年我国互联网安全态势报告》指出，上半年收录的通用软硬件漏洞数量同比增长 17.9%，Web 应用层漏洞仍是攻击者的主要入口。代码安全审计在软件开发生命周期中的位置不断前移，成为 DevSecOps 实践的关键环节。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工业界长期依赖基于规则与数据流的静态应用安全测试（SAST）工具，如 Bandit、Semgrep、CodeQL 等。这类工具对已知漏洞模式检出快、误报可控，但规则匹配的边界在面对复杂业务逻辑、绕过式过滤与非典型漏洞变体时迅速收紧。一个典型例子：对使用 os.path.join 拼接用户输入的路径穿越样本，规则工具因命中「标准库推荐用法」而放行，而具备语义理解能力的大语言模型能够识别该写法不构成安全边界、攻击者可通过「../」实现目录穿越。这类「看似标准写法实则可绕过」的场景，难以通过扩充规则集根本解决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大语言模型的兴起为代码安全审计提供了新路径，但闭源模型按 token 计费、数据需上传云端，与代码作为核心资产对保密性与可审计性的要求冲突；直接本地部署通用开源代码大模型，又面临三类瓶颈：一是漏洞模式知识盲区，二是判定边界过度敏感、对安全样本产生幻觉式误报，三是 CWE 分类归因能力薄弱。本作品要回答的问题是：如何在不依赖任何云端 API 的前提下，通过两阶段架构、数据工程与监督微调，把一个 8B 参数的本地开源模型变成一套判定可信、误报可控、结论可解释的可用漏洞分析系统。</w:t>
      </w:r>
    </w:p>
    <w:p>
      <w:pPr>
        <w:pStyle w:val="Heading2"/>
        <w:spacing w:after="140" w:before="280" w:line="360" w:lineRule="atLeast"/>
      </w:pPr>
      <w:bookmarkStart w:id="100003" w:name="_Toc100003"/>
      <w:r>
        <w:rPr>
          <w:rFonts w:ascii="Times New Roman" w:eastAsia="SimHei"/>
          <w:b/>
          <w:bCs/>
          <w:color w:val="000000"/>
          <w:sz w:val="30"/>
          <w:szCs w:val="30"/>
        </w:rPr>
        <w:t xml:space="preserve">1.3  目标用户与使用场景</w:t>
      </w:r>
      <w:bookmarkEnd w:id="100003"/>
    </w:p>
    <w:p>
      <w:pPr>
        <w:spacing w:after="8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本系统面向需要在本地完成代码安全检查的开发者与安全审计人员，覆盖四类典型场景：</w:t>
      </w:r>
    </w:p>
    <w:p>
      <w:pPr>
        <w:keepNext/>
        <w:spacing w:after="80" w:before="160" w:line="312"/>
        <w:jc w:val="center"/>
      </w:pPr>
      <w:r>
        <w:rPr>
          <w:rFonts w:ascii="Times New Roman" w:eastAsia="SimHei"/>
          <w:b/>
          <w:bCs/>
          <w:color w:val="000000"/>
          <w:sz w:val="21"/>
          <w:szCs w:val="21"/>
        </w:rPr>
        <w:t xml:space="preserve">表 1-1  目标用户与使用场景</w:t>
      </w:r>
    </w:p>
    <w:tbl>
      <w:tblPr>
        <w:tblW w:type="pct" w:w="100%"/>
        <w:tblBorders>
          <w:top w:val="single" w:color="7F7F7F" w:sz="4"/>
          <w:left w:val="single" w:color="BFBFBF" w:sz="2"/>
          <w:bottom w:val="single" w:color="7F7F7F" w:sz="4"/>
          <w:right w:val="single" w:color="BFBFBF" w:sz="2"/>
          <w:insideH w:val="single" w:color="BFBFBF" w:sz="2"/>
          <w:insideV w:val="single" w:color="BFBFBF" w:sz="2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30%"/>
            <w:shd w:fill="EFEF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1"/>
                <w:szCs w:val="21"/>
              </w:rPr>
              <w:t xml:space="preserve">场景</w:t>
            </w:r>
          </w:p>
        </w:tc>
        <w:tc>
          <w:tcPr>
            <w:tcW w:type="pct" w:w="70%"/>
            <w:shd w:fill="EFEF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1"/>
                <w:szCs w:val="21"/>
              </w:rPr>
              <w:t xml:space="preserve">使用方式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交代码前自查一段拿不准的逻辑</w:t>
            </w:r>
          </w:p>
        </w:tc>
        <w:tc>
          <w:tcPr>
            <w:tcW w:type="pct" w:w="7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Web 界面粘贴代码，秒级获得三态判定与修复建议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提交/发布前把整个项目过一遍</w:t>
            </w:r>
          </w:p>
        </w:tc>
        <w:tc>
          <w:tcPr>
            <w:tcW w:type="pct" w:w="7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批量扫描整个模块，导出 Markdown 报告与 SARIF 结果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评估一个开源仓库能否引入</w:t>
            </w:r>
          </w:p>
        </w:tc>
        <w:tc>
          <w:tcPr>
            <w:tcW w:type="pct" w:w="7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输入仓库地址浅克隆扫描，不本机留副本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写代码时随手查当前文件</w:t>
            </w:r>
          </w:p>
        </w:tc>
        <w:tc>
          <w:tcPr>
            <w:tcW w:type="pct" w:w="7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VS Code / IntelliJ 插件，编辑器内右键即扫</w:t>
            </w:r>
          </w:p>
        </w:tc>
      </w:tr>
    </w:tbl>
    <w:p>
      <w:pPr>
        <w:spacing w:after="12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交付形态包括：Web 界面（五页面）、VS Code 与 IntelliJ 双编辑器插件、命令行工具，以及跨平台一键启动器与卸载器。</w:t>
      </w:r>
    </w:p>
    <w:p>
      <w:pPr>
        <w:pStyle w:val="Heading2"/>
        <w:spacing w:after="140" w:before="280" w:line="360" w:lineRule="atLeast"/>
      </w:pPr>
      <w:bookmarkStart w:id="100004" w:name="_Toc100004"/>
      <w:r>
        <w:rPr>
          <w:rFonts w:ascii="Times New Roman" w:eastAsia="SimHei"/>
          <w:b/>
          <w:bCs/>
          <w:color w:val="000000"/>
          <w:sz w:val="30"/>
          <w:szCs w:val="30"/>
        </w:rPr>
        <w:t xml:space="preserve">1.4  术语与缩略语</w:t>
      </w:r>
      <w:bookmarkEnd w:id="100004"/>
    </w:p>
    <w:p>
      <w:pPr>
        <w:keepNext/>
        <w:spacing w:after="80" w:before="160" w:line="312"/>
        <w:jc w:val="center"/>
      </w:pPr>
      <w:r>
        <w:rPr>
          <w:rFonts w:ascii="Times New Roman" w:eastAsia="SimHei"/>
          <w:b/>
          <w:bCs/>
          <w:color w:val="000000"/>
          <w:sz w:val="21"/>
          <w:szCs w:val="21"/>
        </w:rPr>
        <w:t xml:space="preserve">表 1-2  术语与缩略语</w:t>
      </w:r>
    </w:p>
    <w:tbl>
      <w:tblPr>
        <w:tblW w:type="pct" w:w="100%"/>
        <w:tblBorders>
          <w:top w:val="single" w:color="7F7F7F" w:sz="4"/>
          <w:left w:val="single" w:color="BFBFBF" w:sz="2"/>
          <w:bottom w:val="single" w:color="7F7F7F" w:sz="4"/>
          <w:right w:val="single" w:color="BFBFBF" w:sz="2"/>
          <w:insideH w:val="single" w:color="BFBFBF" w:sz="2"/>
          <w:insideV w:val="single" w:color="BFBFBF" w:sz="2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2%"/>
            <w:shd w:fill="EFEF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1"/>
                <w:szCs w:val="21"/>
              </w:rPr>
              <w:t xml:space="preserve">术语</w:t>
            </w:r>
          </w:p>
        </w:tc>
        <w:tc>
          <w:tcPr>
            <w:tcW w:type="pct" w:w="78%"/>
            <w:shd w:fill="EFEF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1"/>
                <w:szCs w:val="21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CWE</w:t>
            </w:r>
          </w:p>
        </w:tc>
        <w:tc>
          <w:tcPr>
            <w:tcW w:type="pct" w:w="7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通用缺陷枚举（Common Weakness Enumeration），漏洞类型的国际标准编号体系，如 CWE-89 为 SQL 注入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SAST</w:t>
            </w:r>
          </w:p>
        </w:tc>
        <w:tc>
          <w:tcPr>
            <w:tcW w:type="pct" w:w="7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静态应用安全测试（Static Application Security Testing），基于规则与数据流扫描源代码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污点分析</w:t>
            </w:r>
          </w:p>
        </w:tc>
        <w:tc>
          <w:tcPr>
            <w:tcW w:type="pct" w:w="7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追踪外部输入（Source）到危险函数（Sink）的数据流，判断不可控数据是否到达危险点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LoRA / QLoRA</w:t>
            </w:r>
          </w:p>
        </w:tc>
        <w:tc>
          <w:tcPr>
            <w:tcW w:type="pct" w:w="7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低秩适配微调方法；QLoRA 将基座 4-bit 量化后叠加 LoRA，使 8B 模型可在 16GB 显存训练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SFT</w:t>
            </w:r>
          </w:p>
        </w:tc>
        <w:tc>
          <w:tcPr>
            <w:tcW w:type="pct" w:w="7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监督微调（Supervised Fine-Tuning），用带标注的指令数据对预训练模型做监督训练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两阶段架构</w:t>
            </w:r>
          </w:p>
        </w:tc>
        <w:tc>
          <w:tcPr>
            <w:tcW w:type="pct" w:w="7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本系统核心架构：Stage 1 工具召回候选，Stage 2 大模型对候选做封闭裁决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自一致率</w:t>
            </w:r>
          </w:p>
        </w:tc>
        <w:tc>
          <w:tcPr>
            <w:tcW w:type="pct" w:w="7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同一问题独立采样 N 次的票数一致比例，作为置信度代理指标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共形预测</w:t>
            </w:r>
          </w:p>
        </w:tc>
        <w:tc>
          <w:tcPr>
            <w:tcW w:type="pct" w:w="7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一种统计不确定性量化方法，给出带覆盖率保证的预测集合，用于门控低置信判定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反事实验证</w:t>
            </w:r>
          </w:p>
        </w:tc>
        <w:tc>
          <w:tcPr>
            <w:tcW w:type="pct" w:w="7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对 Sink 行注入防御代码后重判，观察结论是否翻转，以区分真理解与模式匹配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SARIF</w:t>
            </w:r>
          </w:p>
        </w:tc>
        <w:tc>
          <w:tcPr>
            <w:tcW w:type="pct" w:w="7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静态分析结果交换格式（OASIS 标准，2.1.0），可与 GitHub Code Scanning 等互通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NDJSON</w:t>
            </w:r>
          </w:p>
        </w:tc>
        <w:tc>
          <w:tcPr>
            <w:tcW w:type="pct" w:w="7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换行分隔 JSON（Newline-Delimited JSON），本系统用于批量扫描与下载进度的流式推送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FPR / 召回率</w:t>
            </w:r>
          </w:p>
        </w:tc>
        <w:tc>
          <w:tcPr>
            <w:tcW w:type="pct" w:w="7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误报率（把安全判成漏洞的比例）/ 漏洞检出比例；strict 口径另要求 CWE 归因正确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RAG</w:t>
            </w:r>
          </w:p>
        </w:tc>
        <w:tc>
          <w:tcPr>
            <w:tcW w:type="pct" w:w="7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检索增强生成（Retrieval-Augmented Generation），检索本地漏洞知识库辅助判定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Ollama</w:t>
            </w:r>
          </w:p>
        </w:tc>
        <w:tc>
          <w:tcPr>
            <w:tcW w:type="pct" w:w="7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本地大模型运行时，支持从模型仓库在线拉取量化模型</w:t>
            </w:r>
          </w:p>
        </w:tc>
      </w:tr>
    </w:tbl>
    <w:p>
      <w:pPr>
        <w:pStyle w:val="Heading1"/>
        <w:spacing w:after="200" w:before="360" w:line="380" w:lineRule="atLeast"/>
      </w:pPr>
      <w:bookmarkStart w:id="100005" w:name="_Toc100005"/>
      <w:r>
        <w:rPr>
          <w:rFonts w:ascii="Times New Roman" w:eastAsia="SimHei"/>
          <w:b/>
          <w:bCs/>
          <w:color w:val="000000"/>
          <w:sz w:val="32"/>
          <w:szCs w:val="32"/>
        </w:rPr>
        <w:t xml:space="preserve">2  功能需求说明书</w:t>
      </w:r>
      <w:bookmarkEnd w:id="100005"/>
    </w:p>
    <w:p>
      <w:pPr>
        <w:pStyle w:val="Heading2"/>
        <w:spacing w:after="140" w:before="280" w:line="360" w:lineRule="atLeast"/>
      </w:pPr>
      <w:bookmarkStart w:id="100006" w:name="_Toc100006"/>
      <w:r>
        <w:rPr>
          <w:rFonts w:ascii="Times New Roman" w:eastAsia="SimHei"/>
          <w:b/>
          <w:bCs/>
          <w:color w:val="000000"/>
          <w:sz w:val="30"/>
          <w:szCs w:val="30"/>
        </w:rPr>
        <w:t xml:space="preserve">2.1  功能总览</w:t>
      </w:r>
      <w:bookmarkEnd w:id="100006"/>
    </w:p>
    <w:p>
      <w:pPr>
        <w:spacing w:after="8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系统功能按入口分为 Web 端、编辑器插件、命令行与系统工具四组，功能清单如表 2-1 所示。</w:t>
      </w:r>
    </w:p>
    <w:p>
      <w:pPr>
        <w:keepNext/>
        <w:spacing w:after="80" w:before="160" w:line="312"/>
        <w:jc w:val="center"/>
      </w:pPr>
      <w:r>
        <w:rPr>
          <w:rFonts w:ascii="Times New Roman" w:eastAsia="SimHei"/>
          <w:b/>
          <w:bCs/>
          <w:color w:val="000000"/>
          <w:sz w:val="21"/>
          <w:szCs w:val="21"/>
        </w:rPr>
        <w:t xml:space="preserve">表 2-1  功能清单</w:t>
      </w:r>
    </w:p>
    <w:tbl>
      <w:tblPr>
        <w:tblW w:type="pct" w:w="100%"/>
        <w:tblBorders>
          <w:top w:val="single" w:color="7F7F7F" w:sz="4"/>
          <w:left w:val="single" w:color="BFBFBF" w:sz="2"/>
          <w:bottom w:val="single" w:color="7F7F7F" w:sz="4"/>
          <w:right w:val="single" w:color="BFBFBF" w:sz="2"/>
          <w:insideH w:val="single" w:color="BFBFBF" w:sz="2"/>
          <w:insideV w:val="single" w:color="BFBFBF" w:sz="2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0%"/>
            <w:shd w:fill="EFEF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1"/>
                <w:szCs w:val="21"/>
              </w:rPr>
              <w:t xml:space="preserve">入口</w:t>
            </w:r>
          </w:p>
        </w:tc>
        <w:tc>
          <w:tcPr>
            <w:tcW w:type="pct" w:w="44%"/>
            <w:shd w:fill="EFEF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1"/>
                <w:szCs w:val="21"/>
              </w:rPr>
              <w:t xml:space="preserve">功能</w:t>
            </w:r>
          </w:p>
        </w:tc>
        <w:tc>
          <w:tcPr>
            <w:tcW w:type="pct" w:w="36%"/>
            <w:shd w:fill="EFEF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1"/>
                <w:szCs w:val="21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Web 端</w:t>
            </w:r>
          </w:p>
        </w:tc>
        <w:tc>
          <w:tcPr>
            <w:tcW w:type="pct" w:w="4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代码扫描</w:t>
            </w:r>
          </w:p>
        </w:tc>
        <w:tc>
          <w:tcPr>
            <w:tcW w:type="pct" w:w="3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粘贴代码片段或上传文件（单文件/批量最多 200 个），三态判定输出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Web 端</w:t>
            </w:r>
          </w:p>
        </w:tc>
        <w:tc>
          <w:tcPr>
            <w:tcW w:type="pct" w:w="4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GitHub 仓库扫描</w:t>
            </w:r>
          </w:p>
        </w:tc>
        <w:tc>
          <w:tcPr>
            <w:tcW w:type="pct" w:w="3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浅克隆远程仓库逐文件分析，扫完即删本机副本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Web 端</w:t>
            </w:r>
          </w:p>
        </w:tc>
        <w:tc>
          <w:tcPr>
            <w:tcW w:type="pct" w:w="4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网页代码扫描</w:t>
            </w:r>
          </w:p>
        </w:tc>
        <w:tc>
          <w:tcPr>
            <w:tcW w:type="pct" w:w="3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抓取指定网页中的脚本代码逐个分析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Web 端</w:t>
            </w:r>
          </w:p>
        </w:tc>
        <w:tc>
          <w:tcPr>
            <w:tcW w:type="pct" w:w="4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结果与报告</w:t>
            </w:r>
          </w:p>
        </w:tc>
        <w:tc>
          <w:tcPr>
            <w:tcW w:type="pct" w:w="3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漏洞卡片、安全评分、Markdown 报告与 SARIF 导出、报告历史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Web 端</w:t>
            </w:r>
          </w:p>
        </w:tc>
        <w:tc>
          <w:tcPr>
            <w:tcW w:type="pct" w:w="4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CWE 样本库</w:t>
            </w:r>
          </w:p>
        </w:tc>
        <w:tc>
          <w:tcPr>
            <w:tcW w:type="pct" w:w="3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16 类常见漏洞的可搜索示例与修复方案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Web 端</w:t>
            </w:r>
          </w:p>
        </w:tc>
        <w:tc>
          <w:tcPr>
            <w:tcW w:type="pct" w:w="4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安全态势</w:t>
            </w:r>
          </w:p>
        </w:tc>
        <w:tc>
          <w:tcPr>
            <w:tcW w:type="pct" w:w="3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历史扫描统计、引擎健康状态与整体安全态势总览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Web 端</w:t>
            </w:r>
          </w:p>
        </w:tc>
        <w:tc>
          <w:tcPr>
            <w:tcW w:type="pct" w:w="4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模型管理</w:t>
            </w:r>
          </w:p>
        </w:tc>
        <w:tc>
          <w:tcPr>
            <w:tcW w:type="pct" w:w="3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模型拉取/删除/切换，实时下载进度，后端形态展示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VS Code 插件</w:t>
            </w:r>
          </w:p>
        </w:tc>
        <w:tc>
          <w:tcPr>
            <w:tcW w:type="pct" w:w="4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编辑器内扫描</w:t>
            </w:r>
          </w:p>
        </w:tc>
        <w:tc>
          <w:tcPr>
            <w:tcW w:type="pct" w:w="3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右键分析当前文件，红波浪线行级标记，信任层明细面板，工作区批量扫描，保存自动扫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IntelliJ 插件</w:t>
            </w:r>
          </w:p>
        </w:tc>
        <w:tc>
          <w:tcPr>
            <w:tcW w:type="pct" w:w="4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编辑器内扫描</w:t>
            </w:r>
          </w:p>
        </w:tc>
        <w:tc>
          <w:tcPr>
            <w:tcW w:type="pct" w:w="3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选中代码或整文件扫描，气球通知展示结论与信任层摘要（演示版）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命令行</w:t>
            </w:r>
          </w:p>
        </w:tc>
        <w:tc>
          <w:tcPr>
            <w:tcW w:type="pct" w:w="4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扫描与集成</w:t>
            </w:r>
          </w:p>
        </w:tc>
        <w:tc>
          <w:tcPr>
            <w:tcW w:type="pct" w:w="3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health / scan / batch / url / github 五个子命令，可接入 CI 脚本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系统工具</w:t>
            </w:r>
          </w:p>
        </w:tc>
        <w:tc>
          <w:tcPr>
            <w:tcW w:type="pct" w:w="4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一键启动/卸载</w:t>
            </w:r>
          </w:p>
        </w:tc>
        <w:tc>
          <w:tcPr>
            <w:tcW w:type="pct" w:w="3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跨平台启动器自动装依赖、选后端、下模型；卸载器分级清理</w:t>
            </w:r>
          </w:p>
        </w:tc>
      </w:tr>
    </w:tbl>
    <w:p>
      <w:pPr>
        <w:pStyle w:val="Heading2"/>
        <w:spacing w:after="140" w:before="280" w:line="360" w:lineRule="atLeast"/>
      </w:pPr>
      <w:bookmarkStart w:id="100007" w:name="_Toc100007"/>
      <w:r>
        <w:rPr>
          <w:rFonts w:ascii="Times New Roman" w:eastAsia="SimHei"/>
          <w:b/>
          <w:bCs/>
          <w:color w:val="000000"/>
          <w:sz w:val="30"/>
          <w:szCs w:val="30"/>
        </w:rPr>
        <w:t xml:space="preserve">2.2  核心扫描任务</w:t>
      </w:r>
      <w:bookmarkEnd w:id="100007"/>
    </w:p>
    <w:p>
      <w:pPr>
        <w:pStyle w:val="Heading3"/>
        <w:spacing w:after="100" w:before="220" w:line="340" w:lineRule="atLeast"/>
      </w:pPr>
      <w:bookmarkStart w:id="100008" w:name="_Toc100008"/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2.2.1  任务 A：扫描代码片段或单个文件</w:t>
      </w:r>
      <w:bookmarkEnd w:id="100008"/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用户在扫描工作台「粘贴代码」标签选择语言、粘贴代码后点击「开始分析」，或拖入一个代码文件。单文件典型耗时 5~15 秒（长文件自动切片后逐段分析，耗时更长）。结果区给出：是否存在漏洞、CWE 类型、风险等级、漏洞原理说明与行号锚定的修复建议。</w:t>
      </w:r>
    </w:p>
    <w:p>
      <w:pPr>
        <w:pStyle w:val="Heading3"/>
        <w:spacing w:after="100" w:before="220" w:line="340" w:lineRule="atLeast"/>
      </w:pPr>
      <w:bookmarkStart w:id="100009" w:name="_Toc100009"/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2.2.2  任务 B：批量扫描项目并导出报告</w:t>
      </w:r>
      <w:bookmarkEnd w:id="100009"/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一次拖入整个模块的代码文件（最多 200 个、总计 10MB），页面通过流式接口实时显示进度，扫完一个出一个。完成后可下载 Markdown 报告（漏洞汇总表 + 逐文件详细结果 + 修复建议），亦可导出 SARIF 2.1.0 标准格式对接代码托管平台。</w:t>
      </w:r>
    </w:p>
    <w:p>
      <w:pPr>
        <w:pStyle w:val="Heading3"/>
        <w:spacing w:after="100" w:before="220" w:line="340" w:lineRule="atLeast"/>
      </w:pPr>
      <w:bookmarkStart w:id="100010" w:name="_Toc100010"/>
      <w:r>
        <w:rPr>
          <w:rFonts w:ascii="Times New Roman" w:eastAsia="SimHei"/>
          <w:b/>
          <w:bCs/>
          <w:color w:val="000000"/>
          <w:sz w:val="28"/>
          <w:szCs w:val="28"/>
        </w:rPr>
        <w:t xml:space="preserve">2.2.3  任务 C：扫描 GitHub 仓库或网页</w:t>
      </w:r>
      <w:bookmarkEnd w:id="100010"/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输入仓库地址即可扫描：系统以浅克隆方式只读拉取（120 秒超时、文件数上限默认 20 可调、硬上限 50），扫描完成后立即删除本机仓库副本。「URL」标签输入网页地址，系统抓取页面中的脚本代码逐个分析。</w:t>
      </w:r>
    </w:p>
    <w:p>
      <w:pPr>
        <w:pStyle w:val="Heading2"/>
        <w:spacing w:after="140" w:before="280" w:line="360" w:lineRule="atLeast"/>
      </w:pPr>
      <w:bookmarkStart w:id="100011" w:name="_Toc100011"/>
      <w:r>
        <w:rPr>
          <w:rFonts w:ascii="Times New Roman" w:eastAsia="SimHei"/>
          <w:b/>
          <w:bCs/>
          <w:color w:val="000000"/>
          <w:sz w:val="30"/>
          <w:szCs w:val="30"/>
        </w:rPr>
        <w:t xml:space="preserve">2.3  扫描结果与判定语义</w:t>
      </w:r>
      <w:bookmarkEnd w:id="100011"/>
    </w:p>
    <w:p>
      <w:pPr>
        <w:spacing w:after="8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系统的每一份文件判定为三种状态之一，语义如表 2-2 所示。</w:t>
      </w:r>
    </w:p>
    <w:p>
      <w:pPr>
        <w:keepNext/>
        <w:spacing w:after="80" w:before="160" w:line="312"/>
        <w:jc w:val="center"/>
      </w:pPr>
      <w:r>
        <w:rPr>
          <w:rFonts w:ascii="Times New Roman" w:eastAsia="SimHei"/>
          <w:b/>
          <w:bCs/>
          <w:color w:val="000000"/>
          <w:sz w:val="21"/>
          <w:szCs w:val="21"/>
        </w:rPr>
        <w:t xml:space="preserve">表 2-2  三态判定语义</w:t>
      </w:r>
    </w:p>
    <w:tbl>
      <w:tblPr>
        <w:tblW w:type="pct" w:w="100%"/>
        <w:tblBorders>
          <w:top w:val="single" w:color="7F7F7F" w:sz="4"/>
          <w:left w:val="single" w:color="BFBFBF" w:sz="2"/>
          <w:bottom w:val="single" w:color="7F7F7F" w:sz="4"/>
          <w:right w:val="single" w:color="BFBFBF" w:sz="2"/>
          <w:insideH w:val="single" w:color="BFBFBF" w:sz="2"/>
          <w:insideV w:val="single" w:color="BFBFBF" w:sz="2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2%"/>
            <w:shd w:fill="EFEF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1"/>
                <w:szCs w:val="21"/>
              </w:rPr>
              <w:t xml:space="preserve">判定</w:t>
            </w:r>
          </w:p>
        </w:tc>
        <w:tc>
          <w:tcPr>
            <w:tcW w:type="pct" w:w="44%"/>
            <w:shd w:fill="EFEF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1"/>
                <w:szCs w:val="21"/>
              </w:rPr>
              <w:t xml:space="preserve">含义</w:t>
            </w:r>
          </w:p>
        </w:tc>
        <w:tc>
          <w:tcPr>
            <w:tcW w:type="pct" w:w="34%"/>
            <w:shd w:fill="EFEF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1"/>
                <w:szCs w:val="21"/>
              </w:rPr>
              <w:t xml:space="preserve">建议动作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发现漏洞</w:t>
            </w:r>
          </w:p>
        </w:tc>
        <w:tc>
          <w:tcPr>
            <w:tcW w:type="pct" w:w="4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模型多次采样一致且通过证据校验，系统确信存在漏洞</w:t>
            </w:r>
          </w:p>
        </w:tc>
        <w:tc>
          <w:tcPr>
            <w:tcW w:type="pct" w:w="3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按修复建议处理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安全</w:t>
            </w:r>
          </w:p>
        </w:tc>
        <w:tc>
          <w:tcPr>
            <w:tcW w:type="pct" w:w="4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工具未召回可疑点，且全文件兜底复核亦未发现问题</w:t>
            </w:r>
          </w:p>
        </w:tc>
        <w:tc>
          <w:tcPr>
            <w:tcW w:type="pct" w:w="3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常规流程即可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需人工复核</w:t>
            </w:r>
          </w:p>
        </w:tc>
        <w:tc>
          <w:tcPr>
            <w:tcW w:type="pct" w:w="4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系统有怀疑但证据不足，有意不代替用户下结论</w:t>
            </w:r>
          </w:p>
        </w:tc>
        <w:tc>
          <w:tcPr>
            <w:tcW w:type="pct" w:w="3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花一分钟查看标注位置</w:t>
            </w:r>
          </w:p>
        </w:tc>
      </w:tr>
    </w:tbl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「需人工复核」是设计行为而非故障：系统的原则是宁可多一道人工复核，也不漏报真漏洞、不错杀不确定的判定。复核结果单独列出，不计入安全评分。每条结果包含：CWE 编号与名称、风险等级（Critical/High/Medium/Low）、Source 与 Sink 污点行号（有数据流的漏洞）、自然语言漏洞说明、行号锚定的局部修复建议，以及可折叠查看的模型原始输出。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安全评分采用扣分制：Critical 每项 -8、High -8、Medium -4、Low -2、Info -0.5；需人工复核的样本单列不扣分，保证评分语义与复核信号不混淆。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本系统结果与传统规则工具存在三类正常差异：一是识别有效防御后放行（参数化查询、subprocess 列表参数、shlex.quote 等），降低规则工具的常见误报；二是报出规则工具覆盖不到的语义类漏洞（认证缺失、信任边界绕过等）；三是对低置信判定输出「需人工复核」而非强行二选一。</w:t>
      </w:r>
    </w:p>
    <w:p>
      <w:pPr>
        <w:pStyle w:val="Heading2"/>
        <w:spacing w:after="140" w:before="280" w:line="360" w:lineRule="atLeast"/>
      </w:pPr>
      <w:bookmarkStart w:id="100012" w:name="_Toc100012"/>
      <w:r>
        <w:rPr>
          <w:rFonts w:ascii="Times New Roman" w:eastAsia="SimHei"/>
          <w:b/>
          <w:bCs/>
          <w:color w:val="000000"/>
          <w:sz w:val="30"/>
          <w:szCs w:val="30"/>
        </w:rPr>
        <w:t xml:space="preserve">2.4  编辑器插件功能</w:t>
      </w:r>
      <w:bookmarkEnd w:id="100012"/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VS Code 插件（v1.3.0）通过 VSIX 安装，提供：右键「分析当前文件」；结果面板除判定与修复建议外，展示每条候选的信任层明细（置信度、裁决档位、共形预测、反事实验证、证据门五项信号）；确认漏洞按行号标注红色波浪线（可配置关闭）；命令面板批量扫描工作区；保存后自动扫描（1.5 秒防抖）。后端地址、批量文件上限等均可配置。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IntelliJ IDEA 插件（v0.1.0）为演示版：编辑器选中代码（不选则扫整个文件）后右键扫描或用快捷键，结果以气球通知展示结论、修复建议与信任层摘要。两插件均为后端服务的「遥控器」，需后端服务保持运行。</w:t>
      </w:r>
    </w:p>
    <w:p>
      <w:pPr>
        <w:pStyle w:val="Heading2"/>
        <w:spacing w:after="140" w:before="280" w:line="360" w:lineRule="atLeast"/>
      </w:pPr>
      <w:bookmarkStart w:id="100013" w:name="_Toc100013"/>
      <w:r>
        <w:rPr>
          <w:rFonts w:ascii="Times New Roman" w:eastAsia="SimHei"/>
          <w:b/>
          <w:bCs/>
          <w:color w:val="000000"/>
          <w:sz w:val="30"/>
          <w:szCs w:val="30"/>
        </w:rPr>
        <w:t xml:space="preserve">2.5  命令行功能</w:t>
      </w:r>
      <w:bookmarkEnd w:id="100013"/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命令行工具无需启动后端服务即可复用扫描引擎，提供五个子命令：health（健康检查）、scan（扫单文件，可输出 JSON）、batch（扫目录并导出报告，支持限量与不递归）、url（扫网页脚本）、github（浅克隆扫仓库）。通用参数支持切换模型、开启知识库、选择输出格式。退出码契约明确：扫描失败返回 1、中断返回 130，便于接入 CI 做提交前检查。</w:t>
      </w:r>
    </w:p>
    <w:p>
      <w:pPr>
        <w:pStyle w:val="Heading2"/>
        <w:spacing w:after="140" w:before="280" w:line="360" w:lineRule="atLeast"/>
      </w:pPr>
      <w:bookmarkStart w:id="100014" w:name="_Toc100014"/>
      <w:r>
        <w:rPr>
          <w:rFonts w:ascii="Times New Roman" w:eastAsia="SimHei"/>
          <w:b/>
          <w:bCs/>
          <w:color w:val="000000"/>
          <w:sz w:val="30"/>
          <w:szCs w:val="30"/>
        </w:rPr>
        <w:t xml:space="preserve">2.6  模型管理与离线能力</w:t>
      </w:r>
      <w:bookmarkEnd w:id="100014"/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Web 界面右上角的模型管理抽屉支持模型的拉取、删除与切换，下载带实时进度；亦可通过命令行参数或环境变量切换。模型提供两档精度形态：一是发布形态 v9max（Ollama 量化版，约 4.7GB，兼容性最好，首次启动自动拉取）；二是高精度形态（Transformers 进程内叠加 LoRA 适配器，检出质量更高），启动器检测到本机自带模型且硬件可运行时自动启用，跑不动则自动回退并打印说明。界面如实显示当前使用的形态。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系统运行期完全离线：联网仅在首次下载依赖与模型时需要；推理框架强制本地离线模式，Semgrep 规则已随仓库本地化。国内网络环境下依赖走清华镜像、模型走国内镜像，支持断点续传与断流自动换源，一般无需手动配置代理。</w:t>
      </w:r>
    </w:p>
    <w:p>
      <w:pPr>
        <w:pStyle w:val="Heading2"/>
        <w:spacing w:after="140" w:before="280" w:line="360" w:lineRule="atLeast"/>
      </w:pPr>
      <w:bookmarkStart w:id="100015" w:name="_Toc100015"/>
      <w:r>
        <w:rPr>
          <w:rFonts w:ascii="Times New Roman" w:eastAsia="SimHei"/>
          <w:b/>
          <w:bCs/>
          <w:color w:val="000000"/>
          <w:sz w:val="30"/>
          <w:szCs w:val="30"/>
        </w:rPr>
        <w:t xml:space="preserve">2.7  非功能需求</w:t>
      </w:r>
      <w:bookmarkEnd w:id="100015"/>
    </w:p>
    <w:p>
      <w:pPr>
        <w:keepNext/>
        <w:spacing w:after="80" w:before="160" w:line="312"/>
        <w:jc w:val="center"/>
      </w:pPr>
      <w:r>
        <w:rPr>
          <w:rFonts w:ascii="Times New Roman" w:eastAsia="SimHei"/>
          <w:b/>
          <w:bCs/>
          <w:color w:val="000000"/>
          <w:sz w:val="21"/>
          <w:szCs w:val="21"/>
        </w:rPr>
        <w:t xml:space="preserve">表 2-3  非功能需求与约束</w:t>
      </w:r>
    </w:p>
    <w:tbl>
      <w:tblPr>
        <w:tblW w:type="pct" w:w="100%"/>
        <w:tblBorders>
          <w:top w:val="single" w:color="7F7F7F" w:sz="4"/>
          <w:left w:val="single" w:color="BFBFBF" w:sz="2"/>
          <w:bottom w:val="single" w:color="7F7F7F" w:sz="4"/>
          <w:right w:val="single" w:color="BFBFBF" w:sz="2"/>
          <w:insideH w:val="single" w:color="BFBFBF" w:sz="2"/>
          <w:insideV w:val="single" w:color="BFBFBF" w:sz="2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6%"/>
            <w:shd w:fill="EFEF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1"/>
                <w:szCs w:val="21"/>
              </w:rPr>
              <w:t xml:space="preserve">项目</w:t>
            </w:r>
          </w:p>
        </w:tc>
        <w:tc>
          <w:tcPr>
            <w:tcW w:type="pct" w:w="74%"/>
            <w:shd w:fill="EFEF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1"/>
                <w:szCs w:val="21"/>
              </w:rPr>
              <w:t xml:space="preserve">要求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支持语言</w:t>
            </w:r>
          </w:p>
        </w:tc>
        <w:tc>
          <w:tcPr>
            <w:tcW w:type="pct" w:w="7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Python / JavaScript / TypeScript / Java / PHP / Go / HTML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文件类型</w:t>
            </w:r>
          </w:p>
        </w:tc>
        <w:tc>
          <w:tcPr>
            <w:tcW w:type="pct" w:w="7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.py .js .ts .jsx .tsx .java .php .go .html .htm .vue .svelte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输入限额</w:t>
            </w:r>
          </w:p>
        </w:tc>
        <w:tc>
          <w:tcPr>
            <w:tcW w:type="pct" w:w="7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单段代码 200 万字符；单文件 2MB；单次批量 200 个文件且总计 10MB；超限前后端双重拦截（HTTP 413）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仓库扫描</w:t>
            </w:r>
          </w:p>
        </w:tc>
        <w:tc>
          <w:tcPr>
            <w:tcW w:type="pct" w:w="7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浅克隆 + 120 秒超时 + 文件数上限（默认 20，硬上限 50）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性能预期</w:t>
            </w:r>
          </w:p>
        </w:tc>
        <w:tc>
          <w:tcPr>
            <w:tcW w:type="pct" w:w="7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单文件典型 5~15 秒；长文件切片后可达分钟级；无显卡自动回退 CPU（慢 10~20 倍）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隐私安全</w:t>
            </w:r>
          </w:p>
        </w:tc>
        <w:tc>
          <w:tcPr>
            <w:tcW w:type="pct" w:w="7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代码、模型、知识库全部留在本机，运行期不访问外网；仓库扫描用后即删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已知边界</w:t>
            </w:r>
          </w:p>
        </w:tc>
        <w:tc>
          <w:tcPr>
            <w:tcW w:type="pct" w:w="7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跨文件复杂攻击路径与「缺失型」漏洞（认证缺失、CSRF 等）为弱项，置信不足时转人工复核；结论是审计辅助而非最终结论</w:t>
            </w:r>
          </w:p>
        </w:tc>
      </w:tr>
    </w:tbl>
    <w:p>
      <w:pPr>
        <w:pStyle w:val="Heading1"/>
        <w:spacing w:after="200" w:before="360" w:line="380" w:lineRule="atLeast"/>
      </w:pPr>
      <w:bookmarkStart w:id="100016" w:name="_Toc100016"/>
      <w:r>
        <w:rPr>
          <w:rFonts w:ascii="Times New Roman" w:eastAsia="SimHei"/>
          <w:b/>
          <w:bCs/>
          <w:color w:val="000000"/>
          <w:sz w:val="32"/>
          <w:szCs w:val="32"/>
        </w:rPr>
        <w:t xml:space="preserve">3  概要设计说明书</w:t>
      </w:r>
      <w:bookmarkEnd w:id="100016"/>
    </w:p>
    <w:p>
      <w:pPr>
        <w:pStyle w:val="Heading2"/>
        <w:spacing w:after="140" w:before="280" w:line="360" w:lineRule="atLeast"/>
      </w:pPr>
      <w:bookmarkStart w:id="100017" w:name="_Toc100017"/>
      <w:r>
        <w:rPr>
          <w:rFonts w:ascii="Times New Roman" w:eastAsia="SimHei"/>
          <w:b/>
          <w:bCs/>
          <w:color w:val="000000"/>
          <w:sz w:val="30"/>
          <w:szCs w:val="30"/>
        </w:rPr>
        <w:t xml:space="preserve">3.1  总体架构</w:t>
      </w:r>
      <w:bookmarkEnd w:id="100017"/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系统采用「前端多页面 + FastAPI 服务层 + 两阶段扫描引擎 + 多后端模型抽象 + 本地持久化」的五层结构。用户经 Web 页面、编辑器插件或命令行发起扫描请求；服务层完成校验、排队与调度后调用两阶段引擎：Stage 1 由传统安全工具与自研静态分析并行召回候选漏洞，Stage 2 由本地大模型对候选做封闭裁决，再经信任层门控与兜底复核后聚合为三态结论；结果以 JSON/NDJSON 返回前端，并可导出 Markdown 与 SARIF。整体数据流如图 3-1 所示。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4762500" cy="2981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60" w:line="312"/>
        <w:jc w:val="center"/>
      </w:pPr>
      <w:r>
        <w:rPr>
          <w:rFonts w:ascii="Times New Roman" w:eastAsia="SimHei"/>
          <w:b/>
          <w:bCs/>
          <w:color w:val="000000"/>
          <w:sz w:val="21"/>
          <w:szCs w:val="21"/>
        </w:rPr>
        <w:t xml:space="preserve">图 3-1  两阶段扫描架构总览</w:t>
      </w:r>
    </w:p>
    <w:p>
      <w:pPr>
        <w:spacing w:after="120" w:line="300"/>
        <w:ind w:firstLine="420"/>
        <w:jc w:val="both"/>
      </w:pPr>
      <w:r>
        <w:rPr>
          <w:rFonts w:ascii="Times New Roman" w:eastAsia="KaiTi"/>
          <w:color w:val="595959"/>
          <w:sz w:val="21"/>
          <w:szCs w:val="21"/>
        </w:rPr>
        <w:t xml:space="preserve">注：界面文字显示为内核开发期代号 Nivis；软件发布名为「凿凿（ZaoZao）」。本图按生产组态绘制：无候选文件执行全量复核（full_recheck）。</w:t>
      </w:r>
    </w:p>
    <w:p>
      <w:pPr>
        <w:pStyle w:val="Heading2"/>
        <w:spacing w:after="140" w:before="280" w:line="360" w:lineRule="atLeast"/>
      </w:pPr>
      <w:bookmarkStart w:id="100018" w:name="_Toc100018"/>
      <w:r>
        <w:rPr>
          <w:rFonts w:ascii="Times New Roman" w:eastAsia="SimHei"/>
          <w:b/>
          <w:bCs/>
          <w:color w:val="000000"/>
          <w:sz w:val="30"/>
          <w:szCs w:val="30"/>
        </w:rPr>
        <w:t xml:space="preserve">3.2  模块划分</w:t>
      </w:r>
      <w:bookmarkEnd w:id="100018"/>
    </w:p>
    <w:p>
      <w:pPr>
        <w:spacing w:after="8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系统代码分为服务层、扫描引擎包、前端、插件与启动器五部分。服务层基于 FastAPI，含六个服务模块：scanner（扫描编排与后端构建）、scheduler（优先级调度）、fetcher（网页抓取与 SSRF 防护）、reporter（报告渲染）、multi_model_scanner（多模型投票）、model_registry（模型注册表与默认值解析）。扫描引擎包 graduation_project 含二十余个自研模块，覆盖污点分析、预筛、切片、裁决、信任层、纠正与导出全链路，核心模块及职责如表 3-1 所示。</w:t>
      </w:r>
    </w:p>
    <w:p>
      <w:pPr>
        <w:keepNext/>
        <w:spacing w:after="80" w:before="160" w:line="312"/>
        <w:jc w:val="center"/>
      </w:pPr>
      <w:r>
        <w:rPr>
          <w:rFonts w:ascii="Times New Roman" w:eastAsia="SimHei"/>
          <w:b/>
          <w:bCs/>
          <w:color w:val="000000"/>
          <w:sz w:val="21"/>
          <w:szCs w:val="21"/>
        </w:rPr>
        <w:t xml:space="preserve">表 3-1  扫描引擎核心模块</w:t>
      </w:r>
    </w:p>
    <w:tbl>
      <w:tblPr>
        <w:tblW w:type="pct" w:w="100%"/>
        <w:tblBorders>
          <w:top w:val="single" w:color="7F7F7F" w:sz="4"/>
          <w:left w:val="single" w:color="BFBFBF" w:sz="2"/>
          <w:bottom w:val="single" w:color="7F7F7F" w:sz="4"/>
          <w:right w:val="single" w:color="BFBFBF" w:sz="2"/>
          <w:insideH w:val="single" w:color="BFBFBF" w:sz="2"/>
          <w:insideV w:val="single" w:color="BFBFBF" w:sz="2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30%"/>
            <w:shd w:fill="EFEF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1"/>
                <w:szCs w:val="21"/>
              </w:rPr>
              <w:t xml:space="preserve">模块</w:t>
            </w:r>
          </w:p>
        </w:tc>
        <w:tc>
          <w:tcPr>
            <w:tcW w:type="pct" w:w="70%"/>
            <w:shd w:fill="EFEF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1"/>
                <w:szCs w:val="21"/>
              </w:rPr>
              <w:t xml:space="preserve">职责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two_stage_scanner</w:t>
            </w:r>
          </w:p>
        </w:tc>
        <w:tc>
          <w:tcPr>
            <w:tcW w:type="pct" w:w="7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两阶段主流程：召回去重、N 次采样裁决、证据门、聚合与三类兜底复核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taint_tracker</w:t>
            </w:r>
          </w:p>
        </w:tc>
        <w:tc>
          <w:tcPr>
            <w:tcW w:type="pct" w:w="7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基于 tree-sitter 的自研轻量污点分析（五语言）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prefilter</w:t>
            </w:r>
          </w:p>
        </w:tc>
        <w:tc>
          <w:tcPr>
            <w:tcW w:type="pct" w:w="7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正则规则预筛层，产出候选并标注可信度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code_slicer</w:t>
            </w:r>
          </w:p>
        </w:tc>
        <w:tc>
          <w:tcPr>
            <w:tcW w:type="pct" w:w="7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长文件 AST 切片（≥150 行），拼装行号前缀上下文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external_scanner</w:t>
            </w:r>
          </w:p>
        </w:tc>
        <w:tc>
          <w:tcPr>
            <w:tcW w:type="pct" w:w="7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七种第三方安全工具的统一封装层（SAST/taint/secrets/SCA/IaC）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conformal / counterfactual</w:t>
            </w:r>
          </w:p>
        </w:tc>
        <w:tc>
          <w:tcPr>
            <w:tcW w:type="pct" w:w="7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共形预测统计门控 / 反事实验证因果门控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cwe_normalizer / line_normalizer</w:t>
            </w:r>
          </w:p>
        </w:tc>
        <w:tc>
          <w:tcPr>
            <w:tcW w:type="pct" w:w="7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CWE 编号查表纠正 / 行号内容锚定纠正（零 token 开销）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fix_verifier</w:t>
            </w:r>
          </w:p>
        </w:tc>
        <w:tc>
          <w:tcPr>
            <w:tcW w:type="pct" w:w="7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修复建议语法校验与幻觉行号检测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sarif_report</w:t>
            </w:r>
          </w:p>
        </w:tc>
        <w:tc>
          <w:tcPr>
            <w:tcW w:type="pct" w:w="7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SARIF 2.1.0 标准化导出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chroma_manager</w:t>
            </w:r>
          </w:p>
        </w:tc>
        <w:tc>
          <w:tcPr>
            <w:tcW w:type="pct" w:w="7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本地向量知识库管理（强制离线）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prompts / llm_client 等</w:t>
            </w:r>
          </w:p>
        </w:tc>
        <w:tc>
          <w:tcPr>
            <w:tcW w:type="pct" w:w="7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Prompt 契约与多后端模型客户端抽象</w:t>
            </w:r>
          </w:p>
        </w:tc>
      </w:tr>
    </w:tbl>
    <w:p>
      <w:pPr>
        <w:spacing w:after="12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前端为五页面多页应用（欢迎页、仪表盘、扫描工作台、CWE 样本库、安全态势），无构建步骤、无第三方图表库；插件为 VS Code 与 IntelliJ 两端；启动器负责跨平台依赖安装、后端选择与模型迁移。</w:t>
      </w:r>
    </w:p>
    <w:p>
      <w:pPr>
        <w:pStyle w:val="Heading2"/>
        <w:spacing w:after="140" w:before="280" w:line="360" w:lineRule="atLeast"/>
      </w:pPr>
      <w:bookmarkStart w:id="100019" w:name="_Toc100019"/>
      <w:r>
        <w:rPr>
          <w:rFonts w:ascii="Times New Roman" w:eastAsia="SimHei"/>
          <w:b/>
          <w:bCs/>
          <w:color w:val="000000"/>
          <w:sz w:val="30"/>
          <w:szCs w:val="30"/>
        </w:rPr>
        <w:t xml:space="preserve">3.3  扫描引擎主线</w:t>
      </w:r>
      <w:bookmarkEnd w:id="100019"/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扫描主线分四步。第一步 Stage 1 并行召回：Semgrep 污点分析、自研污点分析器、规则预筛、外部工具封装层四路并行（线程池四个 worker，子进程型工具释放 GIL，总延迟从顺序求和降为取最大值），产出带 Source/Sink 证据的候选集，经跨工具去重归并。第二步 Stage 2 封闭裁决：对每个候选构造裁决提示词，只取包含污点行的代码切片作为上下文，模型独立采样 N=3 次投票，以自一致率作为置信度。第三步信任层门控：确定性证据门、共形预测、反事实验证依次校验，低置信判定转人工复核。第四步聚合与兜底：文件级多数票聚合，判安全的文件再经兜底复核出口防工具盲区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该架构的关键反转在于：大语言模型的任务从「在全文中发现漏洞」的开放生成，变为「对具体候选判定真伪」的封闭判别。每条结论都有工具证据链作为锚点，模型的幻觉空间被压缩到二分类判别之内。</w:t>
      </w:r>
    </w:p>
    <w:p>
      <w:pPr>
        <w:pStyle w:val="Heading2"/>
        <w:spacing w:after="140" w:before="280" w:line="360" w:lineRule="atLeast"/>
      </w:pPr>
      <w:bookmarkStart w:id="100020" w:name="_Toc100020"/>
      <w:r>
        <w:rPr>
          <w:rFonts w:ascii="Times New Roman" w:eastAsia="SimHei"/>
          <w:b/>
          <w:bCs/>
          <w:color w:val="000000"/>
          <w:sz w:val="30"/>
          <w:szCs w:val="30"/>
        </w:rPr>
        <w:t xml:space="preserve">3.4  接口设计</w:t>
      </w:r>
      <w:bookmarkEnd w:id="100020"/>
    </w:p>
    <w:p>
      <w:pPr>
        <w:spacing w:after="8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服务层提供 29 个 REST 端点，按功能分组如表 3-2 所示。批量扫描与模型下载采用 NDJSON 流式推送（每行一个 JSON 事件），相比 WebSocket 更简单且兼容性更好；下载流带心跳保活与禁缓冲响应头，防止长连接被代理掐断。</w:t>
      </w:r>
    </w:p>
    <w:p>
      <w:pPr>
        <w:keepNext/>
        <w:spacing w:after="80" w:before="160" w:line="312"/>
        <w:jc w:val="center"/>
      </w:pPr>
      <w:r>
        <w:rPr>
          <w:rFonts w:ascii="Times New Roman" w:eastAsia="SimHei"/>
          <w:b/>
          <w:bCs/>
          <w:color w:val="000000"/>
          <w:sz w:val="21"/>
          <w:szCs w:val="21"/>
        </w:rPr>
        <w:t xml:space="preserve">表 3-2  REST 接口分组（共 29 个端点）</w:t>
      </w:r>
    </w:p>
    <w:tbl>
      <w:tblPr>
        <w:tblW w:type="pct" w:w="100%"/>
        <w:tblBorders>
          <w:top w:val="single" w:color="7F7F7F" w:sz="4"/>
          <w:left w:val="single" w:color="BFBFBF" w:sz="2"/>
          <w:bottom w:val="single" w:color="7F7F7F" w:sz="4"/>
          <w:right w:val="single" w:color="BFBFBF" w:sz="2"/>
          <w:insideH w:val="single" w:color="BFBFBF" w:sz="2"/>
          <w:insideV w:val="single" w:color="BFBFBF" w:sz="2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8%"/>
            <w:shd w:fill="EFEF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1"/>
                <w:szCs w:val="21"/>
              </w:rPr>
              <w:t xml:space="preserve">分组</w:t>
            </w:r>
          </w:p>
        </w:tc>
        <w:tc>
          <w:tcPr>
            <w:tcW w:type="pct" w:w="72%"/>
            <w:shd w:fill="EFEF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1"/>
                <w:szCs w:val="21"/>
              </w:rPr>
              <w:t xml:space="preserve">主要端点与说明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扫描分析</w:t>
            </w:r>
          </w:p>
        </w:tc>
        <w:tc>
          <w:tcPr>
            <w:tcW w:type="pct" w:w="7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POST /api/analyze（单文件）、/api/analyze/two-stage（两阶段）、/api/batch（批量，NDJSON 流式）、/api/github-scan（仓库）、/api/fetch-url（网页）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结果与报告</w:t>
            </w:r>
          </w:p>
        </w:tc>
        <w:tc>
          <w:tcPr>
            <w:tcW w:type="pct" w:w="7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GET /api/report/single、批量报告下载；GET /api/results/{id}（扫描进度与结果查询）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模型管理</w:t>
            </w:r>
          </w:p>
        </w:tc>
        <w:tc>
          <w:tcPr>
            <w:tcW w:type="pct" w:w="7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GET /api/models（列表与后端形态报告）、POST /api/models/pull、DELETE /api/models/{name}、POST /api/models/switch 等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多模型投票</w:t>
            </w:r>
          </w:p>
        </w:tc>
        <w:tc>
          <w:tcPr>
            <w:tcW w:type="pct" w:w="7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POST /api/multi-model-scan（多模型分别扫描后聚合投票）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任务队列</w:t>
            </w:r>
          </w:p>
        </w:tc>
        <w:tc>
          <w:tcPr>
            <w:tcW w:type="pct" w:w="7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GET /api/queue（队列状态）、POST /api/queue/{id}/cancel（取消）等调度接口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健康检查</w:t>
            </w:r>
          </w:p>
        </w:tc>
        <w:tc>
          <w:tcPr>
            <w:tcW w:type="pct" w:w="7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GET /api/health/live（轻量探针，启动器用）、GET /api/health（深度检查，含模型与外部工具状态）</w:t>
            </w:r>
          </w:p>
        </w:tc>
      </w:tr>
      <w:tr>
        <w:trPr>
          <w:cantSplit/>
        </w:trPr>
        <w:tc>
          <w:tcPr>
            <w:tcW w:type="pct" w:w="28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静态资源</w:t>
            </w:r>
          </w:p>
        </w:tc>
        <w:tc>
          <w:tcPr>
            <w:tcW w:type="pct" w:w="7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五页面静态文件与健康指示接口</w:t>
            </w:r>
          </w:p>
        </w:tc>
      </w:tr>
    </w:tbl>
    <w:p>
      <w:pPr>
        <w:spacing w:after="12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接口语义有两条显性约定：输入超限返回 413（请求实体超限，前端同值先行拦截）；进程内后端不具备运行时拉取/删除模型能力时，模型管理端点返回 501 并附能力清单，前端据此优雅降级。SARIF 导出将置信度映射为标准 level（≥0.8 为 error、0.5~0.8 为 warning、其余为 note），每条结果携带稳定指纹，可跨扫描去重，与 GitHub Code Scanning、VS Code Problems、JetBrains Qodana 原生互通。</w:t>
      </w:r>
    </w:p>
    <w:p>
      <w:pPr>
        <w:pStyle w:val="Heading2"/>
        <w:spacing w:after="140" w:before="280" w:line="360" w:lineRule="atLeast"/>
      </w:pPr>
      <w:bookmarkStart w:id="100021" w:name="_Toc100021"/>
      <w:r>
        <w:rPr>
          <w:rFonts w:ascii="Times New Roman" w:eastAsia="SimHei"/>
          <w:b/>
          <w:bCs/>
          <w:color w:val="000000"/>
          <w:sz w:val="30"/>
          <w:szCs w:val="30"/>
        </w:rPr>
        <w:t xml:space="preserve">3.5  部署形态与运行环境</w:t>
      </w:r>
      <w:bookmarkEnd w:id="100021"/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模型提供两档部署形态。发布形态：Ollama 后端运行量化发布模型 v9max（GGUF Q4_K_M，约 4.7GB），已发布至模型仓库、可在线拉取，兼容性最好，是一键启动的默认形态。高精度形态：Transformers 进程内后端叠加 LoRA 适配器（Nivis-α0.5），以 4-bit 量化基座 + FP16 适配器推理，检出质量更高。后端解析顺序为：环境变量显式设置 &gt; 探测到本地适配器且运行时兼容则选 Transformers &gt; 否则回退 Ollama；探测到适配器但本机硬件不适合时自动回退并打印告警。四种推理后端（Ollama/Transformers/LlamaCPP/vLLM）跨三平台的支持矩阵如图 3-2 所示：Ollama 全平台兼容作为兜底，Linux 支持性最好，Windows 端限制较多。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4762500" cy="2809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60" w:line="312"/>
        <w:jc w:val="center"/>
      </w:pPr>
      <w:r>
        <w:rPr>
          <w:rFonts w:ascii="Times New Roman" w:eastAsia="SimHei"/>
          <w:b/>
          <w:bCs/>
          <w:color w:val="000000"/>
          <w:sz w:val="21"/>
          <w:szCs w:val="21"/>
        </w:rPr>
        <w:t xml:space="preserve">图 3-2  推理后端 × 平台支持矩阵</w:t>
      </w:r>
    </w:p>
    <w:p>
      <w:pPr>
        <w:pStyle w:val="Heading2"/>
        <w:spacing w:after="140" w:before="280" w:line="360" w:lineRule="atLeast"/>
      </w:pPr>
      <w:bookmarkStart w:id="100022" w:name="_Toc100022"/>
      <w:r>
        <w:rPr>
          <w:rFonts w:ascii="Times New Roman" w:eastAsia="SimHei"/>
          <w:b/>
          <w:bCs/>
          <w:color w:val="000000"/>
          <w:sz w:val="30"/>
          <w:szCs w:val="30"/>
        </w:rPr>
        <w:t xml:space="preserve">3.6  效果指标</w:t>
      </w:r>
      <w:bookmarkEnd w:id="100022"/>
    </w:p>
    <w:p>
      <w:pPr>
        <w:spacing w:after="8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系统采用统一打分口径：acc 为已裁决样本的准确率；strict 为判真且 CWE 归因正确（含父子族匹配）的严格口径；micro/加权为实例级召回与风险加权分；「未决率」为转入人工复核的比例，与准确率成对引用。两阶段系统在三个测试面上的主要指标如表 3-3 所示。</w:t>
      </w:r>
    </w:p>
    <w:p>
      <w:pPr>
        <w:keepNext/>
        <w:spacing w:after="80" w:before="160" w:line="312"/>
        <w:jc w:val="center"/>
      </w:pPr>
      <w:r>
        <w:rPr>
          <w:rFonts w:ascii="Times New Roman" w:eastAsia="SimHei"/>
          <w:b/>
          <w:bCs/>
          <w:color w:val="000000"/>
          <w:sz w:val="21"/>
          <w:szCs w:val="21"/>
        </w:rPr>
        <w:t xml:space="preserve">表 3-3  系统级主要指标（统一打分口径）</w:t>
      </w:r>
    </w:p>
    <w:tbl>
      <w:tblPr>
        <w:tblW w:type="pct" w:w="100%"/>
        <w:tblBorders>
          <w:top w:val="single" w:color="7F7F7F" w:sz="4"/>
          <w:left w:val="single" w:color="BFBFBF" w:sz="2"/>
          <w:bottom w:val="single" w:color="7F7F7F" w:sz="4"/>
          <w:right w:val="single" w:color="BFBFBF" w:sz="2"/>
          <w:insideH w:val="single" w:color="BFBFBF" w:sz="2"/>
          <w:insideV w:val="single" w:color="BFBFBF" w:sz="2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4%"/>
            <w:shd w:fill="EFEF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1"/>
                <w:szCs w:val="21"/>
              </w:rPr>
              <w:t xml:space="preserve">系统组态（测试面）</w:t>
            </w:r>
          </w:p>
        </w:tc>
        <w:tc>
          <w:tcPr>
            <w:tcW w:type="pct" w:w="15%"/>
            <w:shd w:fill="EFEF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1"/>
                <w:szCs w:val="21"/>
              </w:rPr>
              <w:t xml:space="preserve">recall</w:t>
            </w:r>
          </w:p>
        </w:tc>
        <w:tc>
          <w:tcPr>
            <w:tcW w:type="pct" w:w="11%"/>
            <w:shd w:fill="EFEF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1"/>
                <w:szCs w:val="21"/>
              </w:rPr>
              <w:t xml:space="preserve">FPR</w:t>
            </w:r>
          </w:p>
        </w:tc>
        <w:tc>
          <w:tcPr>
            <w:tcW w:type="pct" w:w="10%"/>
            <w:shd w:fill="EFEF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1"/>
                <w:szCs w:val="21"/>
              </w:rPr>
              <w:t xml:space="preserve">acc</w:t>
            </w:r>
          </w:p>
        </w:tc>
        <w:tc>
          <w:tcPr>
            <w:tcW w:type="pct" w:w="9%"/>
            <w:shd w:fill="EFEF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1"/>
                <w:szCs w:val="21"/>
              </w:rPr>
              <w:t xml:space="preserve">未决率</w:t>
            </w:r>
          </w:p>
        </w:tc>
        <w:tc>
          <w:tcPr>
            <w:tcW w:type="pct" w:w="10%"/>
            <w:shd w:fill="EFEF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1"/>
                <w:szCs w:val="21"/>
              </w:rPr>
              <w:t xml:space="preserve">strict</w:t>
            </w:r>
          </w:p>
        </w:tc>
        <w:tc>
          <w:tcPr>
            <w:tcW w:type="pct" w:w="11%"/>
            <w:shd w:fill="EFEF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1"/>
                <w:szCs w:val="21"/>
              </w:rPr>
              <w:t xml:space="preserve">加权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完整信任层（87 段合成集）</w:t>
            </w:r>
          </w:p>
        </w:tc>
        <w:tc>
          <w:tcPr>
            <w:tcW w:type="pct" w:w="1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1.000</w:t>
            </w:r>
          </w:p>
        </w:tc>
        <w:tc>
          <w:tcPr>
            <w:tcW w:type="pct" w:w="11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0.0435</w:t>
            </w:r>
          </w:p>
        </w:tc>
        <w:tc>
          <w:tcPr>
            <w:tcW w:type="pct" w:w="1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0.987</w:t>
            </w:r>
          </w:p>
        </w:tc>
        <w:tc>
          <w:tcPr>
            <w:tcW w:type="pct" w:w="9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13.8%</w:t>
            </w:r>
          </w:p>
        </w:tc>
        <w:tc>
          <w:tcPr>
            <w:tcW w:type="pct" w:w="1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0.923</w:t>
            </w:r>
          </w:p>
        </w:tc>
        <w:tc>
          <w:tcPr>
            <w:tcW w:type="pct" w:w="11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0.862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纯 LLM 裸判对照（87 段合成集）</w:t>
            </w:r>
          </w:p>
        </w:tc>
        <w:tc>
          <w:tcPr>
            <w:tcW w:type="pct" w:w="1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0.967</w:t>
            </w:r>
          </w:p>
        </w:tc>
        <w:tc>
          <w:tcPr>
            <w:tcW w:type="pct" w:w="11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0.154</w:t>
            </w:r>
          </w:p>
        </w:tc>
        <w:tc>
          <w:tcPr>
            <w:tcW w:type="pct" w:w="1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0.931</w:t>
            </w:r>
          </w:p>
        </w:tc>
        <w:tc>
          <w:tcPr>
            <w:tcW w:type="pct" w:w="9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0</w:t>
            </w:r>
          </w:p>
        </w:tc>
        <w:tc>
          <w:tcPr>
            <w:tcW w:type="pct" w:w="1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0.898</w:t>
            </w:r>
          </w:p>
        </w:tc>
        <w:tc>
          <w:tcPr>
            <w:tcW w:type="pct" w:w="11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0.829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真实 CVE 修复片段（20 段）</w:t>
            </w:r>
          </w:p>
        </w:tc>
        <w:tc>
          <w:tcPr>
            <w:tcW w:type="pct" w:w="1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0.941</w:t>
            </w:r>
          </w:p>
        </w:tc>
        <w:tc>
          <w:tcPr>
            <w:tcW w:type="pct" w:w="11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—</w:t>
            </w:r>
          </w:p>
        </w:tc>
        <w:tc>
          <w:tcPr>
            <w:tcW w:type="pct" w:w="1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0.941</w:t>
            </w:r>
          </w:p>
        </w:tc>
        <w:tc>
          <w:tcPr>
            <w:tcW w:type="pct" w:w="9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15.0%</w:t>
            </w:r>
          </w:p>
        </w:tc>
        <w:tc>
          <w:tcPr>
            <w:tcW w:type="pct" w:w="1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1.000</w:t>
            </w:r>
          </w:p>
        </w:tc>
        <w:tc>
          <w:tcPr>
            <w:tcW w:type="pct" w:w="11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0.864</w:t>
            </w:r>
          </w:p>
        </w:tc>
      </w:tr>
      <w:tr>
        <w:trPr>
          <w:cantSplit/>
        </w:trPr>
        <w:tc>
          <w:tcPr>
            <w:tcW w:type="pct" w:w="3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真实完整文件首跑（50 段）</w:t>
            </w:r>
          </w:p>
        </w:tc>
        <w:tc>
          <w:tcPr>
            <w:tcW w:type="pct" w:w="15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0.645</w:t>
            </w:r>
          </w:p>
        </w:tc>
        <w:tc>
          <w:tcPr>
            <w:tcW w:type="pct" w:w="11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—</w:t>
            </w:r>
          </w:p>
        </w:tc>
        <w:tc>
          <w:tcPr>
            <w:tcW w:type="pct" w:w="1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0.645</w:t>
            </w:r>
          </w:p>
        </w:tc>
        <w:tc>
          <w:tcPr>
            <w:tcW w:type="pct" w:w="9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38.0%</w:t>
            </w:r>
          </w:p>
        </w:tc>
        <w:tc>
          <w:tcPr>
            <w:tcW w:type="pct" w:w="1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0.450</w:t>
            </w:r>
          </w:p>
        </w:tc>
        <w:tc>
          <w:tcPr>
            <w:tcW w:type="pct" w:w="11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0.480</w:t>
            </w:r>
          </w:p>
        </w:tc>
      </w:tr>
    </w:tbl>
    <w:p>
      <w:pPr>
        <w:spacing w:after="120" w:line="300"/>
        <w:ind w:firstLine="420"/>
        <w:jc w:val="both"/>
      </w:pPr>
      <w:r>
        <w:rPr>
          <w:rFonts w:ascii="Times New Roman" w:eastAsia="KaiTi"/>
          <w:color w:val="595959"/>
          <w:sz w:val="21"/>
          <w:szCs w:val="21"/>
        </w:rPr>
        <w:t xml:space="preserve">注：87 段合成集上完整信任层较裸判对照 FPR 由 0.154 收敛至 0.0435，归因 strict 由 0.898 升至 0.923——工具证据链反哺归因。真实完整文件面（50 段全为漏洞样本，无安全样本故 FPR 不可计算）两阶段首跑较同面裸判基线 recall +17.8pt、strict +33.5pt，代价是 38% 样本转人工复核，系统在真实文件上偏保守；漏报拆解显示召回缺口主要在 Stage 1 工具召回而非裁决端。发布形态（Ollama Q4 量化）下合成集 recall 0.951 / FPR 0.077；高精度形态（Transformers + LoRA）对应表中数字，界面如实显示当前形态。</w:t>
      </w:r>
    </w:p>
    <w:p>
      <w:pPr>
        <w:pStyle w:val="Heading1"/>
        <w:spacing w:after="200" w:before="360" w:line="380" w:lineRule="atLeast"/>
      </w:pPr>
      <w:bookmarkStart w:id="100023" w:name="_Toc100023"/>
      <w:r>
        <w:rPr>
          <w:rFonts w:ascii="Times New Roman" w:eastAsia="SimHei"/>
          <w:b/>
          <w:bCs/>
          <w:color w:val="000000"/>
          <w:sz w:val="32"/>
          <w:szCs w:val="32"/>
        </w:rPr>
        <w:t xml:space="preserve">4  详细设计说明书</w:t>
      </w:r>
      <w:bookmarkEnd w:id="100023"/>
    </w:p>
    <w:p>
      <w:pPr>
        <w:pStyle w:val="Heading2"/>
        <w:spacing w:after="140" w:before="280" w:line="360" w:lineRule="atLeast"/>
      </w:pPr>
      <w:bookmarkStart w:id="100024" w:name="_Toc100024"/>
      <w:r>
        <w:rPr>
          <w:rFonts w:ascii="Times New Roman" w:eastAsia="SimHei"/>
          <w:b/>
          <w:bCs/>
          <w:color w:val="000000"/>
          <w:sz w:val="30"/>
          <w:szCs w:val="30"/>
        </w:rPr>
        <w:t xml:space="preserve">4.1  Stage 1 工具召回设计</w:t>
      </w:r>
      <w:bookmarkEnd w:id="100024"/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Stage 1 由四路并行召回：Semgrep 污点模式、自研污点分析器 TaintTracker、正则预筛 Prefilter、外部工具封装层 ExternalScanner（统一 SAST/污点/密钥/组件成分/基础设施即代码五类扫描，封装 Bandit、Semgrep、Gitleaks、detect-secrets、pip-audit、Trivy 等七种工具）。系统从代码输入到结果导出的自研工具链共八件，其中七件零依赖自研，如图 4-1 所示。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4762500" cy="2038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60" w:line="312"/>
        <w:jc w:val="center"/>
      </w:pPr>
      <w:r>
        <w:rPr>
          <w:rFonts w:ascii="Times New Roman" w:eastAsia="SimHei"/>
          <w:b/>
          <w:bCs/>
          <w:color w:val="000000"/>
          <w:sz w:val="21"/>
          <w:szCs w:val="21"/>
        </w:rPr>
        <w:t xml:space="preserve">图 4-1  自研工具链全景</w:t>
      </w:r>
    </w:p>
    <w:p>
      <w:pPr>
        <w:spacing w:after="60" w:line="312"/>
        <w:ind w:firstLine="480"/>
        <w:jc w:val="both"/>
      </w:pPr>
      <w:r>
        <w:rPr>
          <w:rFonts w:ascii="Times New Roman" w:eastAsia="SimHei"/>
          <w:b/>
          <w:bCs/>
          <w:color w:val="000000"/>
          <w:sz w:val="24"/>
          <w:szCs w:val="24"/>
        </w:rPr>
        <w:t xml:space="preserve">TaintTracker（自研污点分析）。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基于 tree-sitter 语法树做线性数据流分析：外部输入赋值进入污染集，污染变量到达危险函数参数即报路径，不再做来源×危险点的笛卡尔积。三项关键设计：一是语境安全判定——subprocess 列表参数、模板 kwargs 传参、白名单前缀校验链等「字面命中但语境安全」的场景在工具层直接消除；二是 Web 框架参数自动识别为污染源（路由装饰器参数、@RequestParam 等注解参数）；三是按危险度排序截断，每个作用域最多输出 50 条路径，高危优先，避免低危候选挤占裁决注意力。</w:t>
      </w:r>
    </w:p>
    <w:p>
      <w:pPr>
        <w:spacing w:after="60" w:line="312"/>
        <w:ind w:firstLine="480"/>
        <w:jc w:val="both"/>
      </w:pPr>
      <w:r>
        <w:rPr>
          <w:rFonts w:ascii="Times New Roman" w:eastAsia="SimHei"/>
          <w:b/>
          <w:bCs/>
          <w:color w:val="000000"/>
          <w:sz w:val="24"/>
          <w:szCs w:val="24"/>
        </w:rPr>
        <w:t xml:space="preserve">Prefilter（规则预筛）。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在调用模型前以正则规则预筛：命中安全模式且未命中漏洞特征可判安全，仅命中漏洞特征判可疑，两者都命中或都未命中交由模型复核。全部规则统一关联类型/CWE/风险元数据（单一事实来源）；超过 150 行的长文件跳过安全规则只跑漏洞规则，防止「前半段参数化掩盖末尾漏洞」；硬编码凭证识别用负向后行断言修正下划线前缀漏配。独立评估显示：预筛在被调用子集上的严格归因准确率 0.917。</w:t>
      </w:r>
    </w:p>
    <w:p>
      <w:pPr>
        <w:spacing w:after="60" w:line="312"/>
        <w:ind w:firstLine="480"/>
        <w:jc w:val="both"/>
      </w:pPr>
      <w:r>
        <w:rPr>
          <w:rFonts w:ascii="Times New Roman" w:eastAsia="SimHei"/>
          <w:b/>
          <w:bCs/>
          <w:color w:val="000000"/>
          <w:sz w:val="24"/>
          <w:szCs w:val="24"/>
        </w:rPr>
        <w:t xml:space="preserve">切片与上下文对位。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文件不足 150 行整体送审；超过则按顶层函数/类方法切片，每片带文件级上下文头与类骨架。切片拼装保证行号精确对位：头部不带行号，函数体逐行加「N|」前缀，模型输出的行号可与源码直接对位。自研的 Semgrep 污点规则四件套（SQL 注入/命令注入/代码注入/XSS）则对整文件做污点扫描，避免切片把同一条数据流的首尾割裂。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四路候选经跨工具去重归并后进入 Stage 2：同一数据流只裁决一次，无证据候选归并到已有证据的同条流，无法归并的退化为「类型+规则」键避免误合。</w:t>
      </w:r>
    </w:p>
    <w:p>
      <w:pPr>
        <w:pStyle w:val="Heading2"/>
        <w:spacing w:after="140" w:before="280" w:line="360" w:lineRule="atLeast"/>
      </w:pPr>
      <w:bookmarkStart w:id="100025" w:name="_Toc100025"/>
      <w:r>
        <w:rPr>
          <w:rFonts w:ascii="Times New Roman" w:eastAsia="SimHei"/>
          <w:b/>
          <w:bCs/>
          <w:color w:val="000000"/>
          <w:sz w:val="30"/>
          <w:szCs w:val="30"/>
        </w:rPr>
        <w:t xml:space="preserve">4.2  Stage 2 封闭裁决设计</w:t>
      </w:r>
      <w:bookmarkEnd w:id="100025"/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裁决只回答一个封闭问题：「这条工具告警是否为真实漏洞」。每个候选独立采样 N=3 次，置信度取自一致率（有效票占比）——解析失败或推理出错的票计为无效票，不参与分母，避免把「模型失效」稀释成「低置信否决」；全部票无效时置信度归零、转人工复核。解析失败时以 JSON 约束解码重试一次，数学上保证输出可解析。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每次裁决按「是否确认 + 置信度」落入四个档位：高置信确认（≥0.8）、低置信确认（0.5~0.8）、高置信否决（≥0.8）、低置信否决（0.5~0.8）；后三档均进入人工复核清单，仅高置信确认直接计为漏洞。文件级聚合采用多数票：任一候选多数票判真即文件判真；漏洞类型投票时区分「独立票」与「回声票」——模型输出类型与工具标注相同只是复读，独立判断出的类型在平票时胜出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裁决格式与模型训练格式严格对齐（字段级一致），避免「训练时见过的格式、推理时换成另一种」导致的自一致漂移。针对模型对工具锚点的过度顺从，提示词按来源注入信任标注：低信任的位置型规则告警显式提示「此告警无数据流证据链、历史误报率高，须独立分析」，污点类标注「可信度较高」，预筛类标注「可信度中等」。</w:t>
      </w:r>
    </w:p>
    <w:p>
      <w:pPr>
        <w:pStyle w:val="Heading2"/>
        <w:spacing w:after="140" w:before="280" w:line="360" w:lineRule="atLeast"/>
      </w:pPr>
      <w:bookmarkStart w:id="100026" w:name="_Toc100026"/>
      <w:r>
        <w:rPr>
          <w:rFonts w:ascii="Times New Roman" w:eastAsia="SimHei"/>
          <w:b/>
          <w:bCs/>
          <w:color w:val="000000"/>
          <w:sz w:val="30"/>
          <w:szCs w:val="30"/>
        </w:rPr>
        <w:t xml:space="preserve">4.3  2.5 代信任层</w:t>
      </w:r>
      <w:bookmarkEnd w:id="100026"/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裁决结论并不直接采信，而是经过四层门控（图 4-2）：确定性证据门、共形预测、反事实验证与信任分级回填。设计动机来自一个实测发现：在高精度后端上模型会「全票但错」——三次采样全票确认实为误报的候选，依赖投票分歧的统计门控在过度自信的后端上结构性失明，因此必须有与后端无关的确定性校验兜底。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4572000" cy="2943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60" w:line="312"/>
        <w:jc w:val="center"/>
      </w:pPr>
      <w:r>
        <w:rPr>
          <w:rFonts w:ascii="Times New Roman" w:eastAsia="SimHei"/>
          <w:b/>
          <w:bCs/>
          <w:color w:val="000000"/>
          <w:sz w:val="21"/>
          <w:szCs w:val="21"/>
        </w:rPr>
        <w:t xml:space="preserve">图 4-2  2.5 代信任层结构</w:t>
      </w:r>
    </w:p>
    <w:p>
      <w:pPr>
        <w:spacing w:after="60" w:line="312"/>
        <w:ind w:firstLine="480"/>
        <w:jc w:val="both"/>
      </w:pPr>
      <w:r>
        <w:rPr>
          <w:rFonts w:ascii="Times New Roman" w:eastAsia="SimHei"/>
          <w:b/>
          <w:bCs/>
          <w:color w:val="000000"/>
          <w:sz w:val="24"/>
          <w:szCs w:val="24"/>
        </w:rPr>
        <w:t xml:space="preserve">确定性证据门（零模型成本）。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两条与后端无关的静态校验：其一，危险点邻域（前 4 后 3 行）已含该漏洞类型的已知防御特征（参数化查询、shlex.quote、autoescape 等）而模型仍判漏洞，视为疑似模式匹配误报；其二，纯字面量脚本且无任何外部输入入口时污点无从产生。命中者不直接否决，而是排除出「直接判漏洞」的依据转人工复核——门是保守的，宁可复核不错杀。</w:t>
      </w:r>
    </w:p>
    <w:p>
      <w:pPr>
        <w:spacing w:after="60" w:line="312"/>
        <w:ind w:firstLine="480"/>
        <w:jc w:val="both"/>
      </w:pPr>
      <w:r>
        <w:rPr>
          <w:rFonts w:ascii="Times New Roman" w:eastAsia="SimHei"/>
          <w:b/>
          <w:bCs/>
          <w:color w:val="000000"/>
          <w:sz w:val="24"/>
          <w:szCs w:val="24"/>
        </w:rPr>
        <w:t xml:space="preserve">共形预测（统计门控）。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以标签条件非一致性分数做三类预测：{漏洞}、{安全}、{不确定}。校准集拟合分位数阈值（默认覆盖率 90%），阈值随模型导出持久化；校准文件缺失时安全降级为未校准模式（全部走不确定档、回退投票逻辑），降级可审计而非异常。只有落入单元素预测集的判定才有资格参与后续工具回填，「弃权」被数学化地排除在外。</w:t>
      </w:r>
    </w:p>
    <w:p>
      <w:pPr>
        <w:spacing w:after="60" w:line="312"/>
        <w:ind w:firstLine="480"/>
        <w:jc w:val="both"/>
      </w:pPr>
      <w:r>
        <w:rPr>
          <w:rFonts w:ascii="Times New Roman" w:eastAsia="SimHei"/>
          <w:b/>
          <w:bCs/>
          <w:color w:val="000000"/>
          <w:sz w:val="24"/>
          <w:szCs w:val="24"/>
        </w:rPr>
        <w:t xml:space="preserve">反事实验证（因果门控）。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对判漏洞的候选，在危险点行内注入最小防御改写（拼接改参数化、加消毒包裹、弱反序列化改安全替代），保持语义不变、只动防御，再让模型重判：若结论翻转为安全，说明模型理解的是「防御的存在性」而非表面模式；若不翻转且原代码已含同类防御，则该候选降级复核。扰动只限危险点行内、裁决只用单次低温采样，成本可控。</w:t>
      </w:r>
    </w:p>
    <w:p>
      <w:pPr>
        <w:spacing w:after="60" w:line="312"/>
        <w:ind w:firstLine="480"/>
        <w:jc w:val="both"/>
      </w:pPr>
      <w:r>
        <w:rPr>
          <w:rFonts w:ascii="Times New Roman" w:eastAsia="SimHei"/>
          <w:b/>
          <w:bCs/>
          <w:color w:val="000000"/>
          <w:sz w:val="24"/>
          <w:szCs w:val="24"/>
        </w:rPr>
        <w:t xml:space="preserve">信任分级回填（模型反哺工具）。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模型输出按判定质量分 A~E 五级，回填结构如图 4-3：仅高置信判定经四重门控（全票门槛、跨独立文件聚合、双向可撤销、独立验证集复核）后写回信号注册表——高置信误报所涉规则进入抑制池，高置信确认的规则获得候选排序加权；单次否定不抑制、两次高置信假阴性可解锁，防止模型错误污染确定性工具。确定性工具（密钥/组件扫描）自判结果不受模型意见影响，保持分层免疫。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4572000" cy="2609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60" w:line="312"/>
        <w:jc w:val="center"/>
      </w:pPr>
      <w:r>
        <w:rPr>
          <w:rFonts w:ascii="Times New Roman" w:eastAsia="SimHei"/>
          <w:b/>
          <w:bCs/>
          <w:color w:val="000000"/>
          <w:sz w:val="21"/>
          <w:szCs w:val="21"/>
        </w:rPr>
        <w:t xml:space="preserve">图 4-3  信任分级回填与抑制池</w:t>
      </w:r>
    </w:p>
    <w:p>
      <w:pPr>
        <w:pStyle w:val="Heading2"/>
        <w:spacing w:after="140" w:before="280" w:line="360" w:lineRule="atLeast"/>
      </w:pPr>
      <w:bookmarkStart w:id="100027" w:name="_Toc100027"/>
      <w:r>
        <w:rPr>
          <w:rFonts w:ascii="Times New Roman" w:eastAsia="SimHei"/>
          <w:b/>
          <w:bCs/>
          <w:color w:val="000000"/>
          <w:sz w:val="30"/>
          <w:szCs w:val="30"/>
        </w:rPr>
        <w:t xml:space="preserve">4.4  复核兜底三出口</w:t>
      </w:r>
      <w:bookmarkEnd w:id="100027"/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裁决式任务只判断「工具告警是否为真」，模型不会自主发现工具没召回的漏洞；规则覆盖不可能百分之百，工具盲区会在裁决路径上静默放行。为此系统设置三个复核出口：其一，无候选文件全量复核（生产默认组态）：工具零召回的文件整体送模型开放式分析，消除「无证据判安全」的静默放行；其二，无候选抽样复核（评估可选组态）：按 10% 比例抽样复核，复核票数上限 3、温度取高值打破同模态重复；其三，裁决全否决兜底：全部候选被否决的文件再做一次全文件复核。三个出口的复核结果均需全票判真才采信，且采信前经形态校验：注入型漏洞必须存在标准危险点特征且邻域无标准防御；认证缺失、CSRF 等「缺失型」漏洞无确定性验证手段，全票采信后如实标注「模型语义兜底」。模块级计数器在线估计工具层漏报率，把「工具召回漂移」变成可观测指标。</w:t>
      </w:r>
    </w:p>
    <w:p>
      <w:pPr>
        <w:pStyle w:val="Heading2"/>
        <w:spacing w:after="140" w:before="280" w:line="360" w:lineRule="atLeast"/>
      </w:pPr>
      <w:bookmarkStart w:id="100028" w:name="_Toc100028"/>
      <w:r>
        <w:rPr>
          <w:rFonts w:ascii="Times New Roman" w:eastAsia="SimHei"/>
          <w:b/>
          <w:bCs/>
          <w:color w:val="000000"/>
          <w:sz w:val="30"/>
          <w:szCs w:val="30"/>
        </w:rPr>
        <w:t xml:space="preserve">4.5  关键工程机制</w:t>
      </w:r>
      <w:bookmarkEnd w:id="100028"/>
    </w:p>
    <w:p>
      <w:pPr>
        <w:spacing w:after="60" w:line="312"/>
        <w:ind w:firstLine="480"/>
        <w:jc w:val="both"/>
      </w:pPr>
      <w:r>
        <w:rPr>
          <w:rFonts w:ascii="Times New Roman" w:eastAsia="SimHei"/>
          <w:b/>
          <w:bCs/>
          <w:color w:val="000000"/>
          <w:sz w:val="24"/>
          <w:szCs w:val="24"/>
        </w:rPr>
        <w:t xml:space="preserve">优先级调度。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基于堆的优先级队列：交互式扫描排高优先级、批量扫描排低优先级，同优先级先到先排；每个客户端最多排队 8 个任务防止单批霸占；工作线程把结果回填到异步事件循环，取消任务直接移出队列释放配额。插件请求头声明扫描范围，后端据此分派优先级。</w:t>
      </w:r>
    </w:p>
    <w:p>
      <w:pPr>
        <w:spacing w:after="60" w:line="312"/>
        <w:ind w:firstLine="480"/>
        <w:jc w:val="both"/>
      </w:pPr>
      <w:r>
        <w:rPr>
          <w:rFonts w:ascii="Times New Roman" w:eastAsia="SimHei"/>
          <w:b/>
          <w:bCs/>
          <w:color w:val="000000"/>
          <w:sz w:val="24"/>
          <w:szCs w:val="24"/>
        </w:rPr>
        <w:t xml:space="preserve">CWE 编号与行号自动纠正。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两项查表式后处理均不进入模型上下文、零 token 开销。CWE 纠正处理「语义对、编号错」的记忆性错误：关键词按具体度排序防子串误归一，证据守卫四级优先避免破坏性覆盖，父子族双向遍历兼容父类/子类口径。行号纠正利用「模型数错行但行内容通常可靠」的规律：以行内容为锚在源文件中定位真实行号，三级评分、高分优先、同分取距原行号最近者，匹配不到可靠锚点则原样保留。</w:t>
      </w:r>
    </w:p>
    <w:p>
      <w:pPr>
        <w:spacing w:after="60" w:line="312"/>
        <w:ind w:firstLine="480"/>
        <w:jc w:val="both"/>
      </w:pPr>
      <w:r>
        <w:rPr>
          <w:rFonts w:ascii="Times New Roman" w:eastAsia="SimHei"/>
          <w:b/>
          <w:bCs/>
          <w:color w:val="000000"/>
          <w:sz w:val="24"/>
          <w:szCs w:val="24"/>
        </w:rPr>
        <w:t xml:space="preserve">修复建议行号锚定契约。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修复建议统一为「行号锚定的单行局部改法」而非完整代码块，配套校验器抓幻觉行号：Java 片段双候选包壳编译校验，JavaScript 用语法检查并兼容 ES 模块；危险模式表覆盖命令执行、弱哈希、开放重定向等 12 类补充模式，规则来源为评估中失败案例的根因分析。</w:t>
      </w:r>
    </w:p>
    <w:p>
      <w:pPr>
        <w:spacing w:after="60" w:line="312"/>
        <w:ind w:firstLine="480"/>
        <w:jc w:val="both"/>
      </w:pPr>
      <w:r>
        <w:rPr>
          <w:rFonts w:ascii="Times New Roman" w:eastAsia="SimHei"/>
          <w:b/>
          <w:bCs/>
          <w:color w:val="000000"/>
          <w:sz w:val="24"/>
          <w:szCs w:val="24"/>
        </w:rPr>
        <w:t xml:space="preserve">长文件与批量解码。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切片后聚合语义保守：任一片段判漏洞即整文件判漏洞，取风险最高片段的详情；支持批量解码的后端一次前向处理完整批次（必须左填充，短序列批量解码否则不可靠），批量失败逐条回退而非整批报废；耗时统计从整文件分析起点计时，长文件与排队耗时如实呈现。</w:t>
      </w:r>
    </w:p>
    <w:p>
      <w:pPr>
        <w:spacing w:after="60" w:line="312"/>
        <w:ind w:firstLine="480"/>
        <w:jc w:val="both"/>
      </w:pPr>
      <w:r>
        <w:rPr>
          <w:rFonts w:ascii="Times New Roman" w:eastAsia="SimHei"/>
          <w:b/>
          <w:bCs/>
          <w:color w:val="000000"/>
          <w:sz w:val="24"/>
          <w:szCs w:val="24"/>
        </w:rPr>
        <w:t xml:space="preserve">安全防护与下载工程。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网页抓取实现多层 SSRF 防护：协议白名单、内网地址拦截、DNS 重绑定缓解（双重解析一致性校验）、逐跳重定向复检（最多 5 跳）、响应体 2MB 截断。国内下载四件套环环相扣：镜像端点在任何依赖库导入前设置、镜像域名绕过代理直连、代理协议规范化、断点续传 + 指数退避 + 完整性校验。</w:t>
      </w:r>
    </w:p>
    <w:p>
      <w:pPr>
        <w:pStyle w:val="Heading2"/>
        <w:spacing w:after="140" w:before="280" w:line="360" w:lineRule="atLeast"/>
      </w:pPr>
      <w:bookmarkStart w:id="100029" w:name="_Toc100029"/>
      <w:r>
        <w:rPr>
          <w:rFonts w:ascii="Times New Roman" w:eastAsia="SimHei"/>
          <w:b/>
          <w:bCs/>
          <w:color w:val="000000"/>
          <w:sz w:val="30"/>
          <w:szCs w:val="30"/>
        </w:rPr>
        <w:t xml:space="preserve">4.6  设计依据与选型论证</w:t>
      </w:r>
      <w:bookmarkEnd w:id="100029"/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判别优于生成：把模型任务锁定为对具体候选的二分类判别，是整个架构的第一性选择——开放生成任务里模型需要同时完成「发现」与「判定」，幻觉无法锚定；封闭判别让每条结论都挂在工具证据上，错误可归因到「工具没召回」或「裁决错判」之一，为归因分流提供结构性基础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自一致率替代自报置信度：大模型自报的置信度校准性差，而 N 次采样的自一致率是多数表决的软化，统计性质清楚、无需额外训练即可用作置信度代理。共形预测与反事实验证的组合来自技术调研：统计门控成本低但有「过度自信后端失明」的结构盲区，因果门控与后端无关、成本略高，二者互补；确定性证据门则以零模型成本拦截两类高频误报模式。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工具-模型自适应闭环替代「按类型补规则」：实测中针对误报逐类补规则是死路——规则间相互作用使误报按下一样本漂移。替代方案是让工具做确定性召回、模型做语义裁决、裁决置信经门控后回填工具记忆（抑制池与排序加权），工具与模型互为喂养、共同进化，且回填门槛参数化写入代码，防止模型的错误判定污染确定性工具。</w:t>
      </w:r>
    </w:p>
    <w:p>
      <w:pPr>
        <w:pStyle w:val="Heading1"/>
        <w:spacing w:after="200" w:before="360" w:line="380" w:lineRule="atLeast"/>
      </w:pPr>
      <w:bookmarkStart w:id="100030" w:name="_Toc100030"/>
      <w:r>
        <w:rPr>
          <w:rFonts w:ascii="Times New Roman" w:eastAsia="SimHei"/>
          <w:b/>
          <w:bCs/>
          <w:color w:val="000000"/>
          <w:sz w:val="32"/>
          <w:szCs w:val="32"/>
        </w:rPr>
        <w:t xml:space="preserve">5  数据存储设计</w:t>
      </w:r>
      <w:bookmarkEnd w:id="100030"/>
    </w:p>
    <w:p>
      <w:pPr>
        <w:pStyle w:val="Heading2"/>
        <w:spacing w:after="140" w:before="280" w:line="360" w:lineRule="atLeast"/>
      </w:pPr>
      <w:bookmarkStart w:id="100031" w:name="_Toc100031"/>
      <w:r>
        <w:rPr>
          <w:rFonts w:ascii="Times New Roman" w:eastAsia="SimHei"/>
          <w:b/>
          <w:bCs/>
          <w:color w:val="000000"/>
          <w:sz w:val="30"/>
          <w:szCs w:val="30"/>
        </w:rPr>
        <w:t xml:space="preserve">5.1  总体说明</w:t>
      </w:r>
      <w:bookmarkEnd w:id="100031"/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本系统无独立数据库服务，全部状态采用四类本地持久化：配置与信号注册表等 JSON 文件、模型权重与规则文件、本地向量知识库、浏览器端 localStorage。这一设计服务于两个目标：完全离线可用（无数据库连接依赖），以及绿色可卸载（全部数据限定在项目目录内，卸载脚本分级清理）。</w:t>
      </w:r>
    </w:p>
    <w:p>
      <w:pPr>
        <w:pStyle w:val="Heading2"/>
        <w:spacing w:after="140" w:before="280" w:line="360" w:lineRule="atLeast"/>
      </w:pPr>
      <w:bookmarkStart w:id="100032" w:name="_Toc100032"/>
      <w:r>
        <w:rPr>
          <w:rFonts w:ascii="Times New Roman" w:eastAsia="SimHei"/>
          <w:b/>
          <w:bCs/>
          <w:color w:val="000000"/>
          <w:sz w:val="30"/>
          <w:szCs w:val="30"/>
        </w:rPr>
        <w:t xml:space="preserve">5.2  文件存储</w:t>
      </w:r>
      <w:bookmarkEnd w:id="100032"/>
    </w:p>
    <w:p>
      <w:pPr>
        <w:keepNext/>
        <w:spacing w:after="80" w:before="160" w:line="312"/>
        <w:jc w:val="center"/>
      </w:pPr>
      <w:r>
        <w:rPr>
          <w:rFonts w:ascii="Times New Roman" w:eastAsia="SimHei"/>
          <w:b/>
          <w:bCs/>
          <w:color w:val="000000"/>
          <w:sz w:val="21"/>
          <w:szCs w:val="21"/>
        </w:rPr>
        <w:t xml:space="preserve">表 5-1  本地文件存储布局（项目目录内）</w:t>
      </w:r>
    </w:p>
    <w:tbl>
      <w:tblPr>
        <w:tblW w:type="pct" w:w="100%"/>
        <w:tblBorders>
          <w:top w:val="single" w:color="7F7F7F" w:sz="4"/>
          <w:left w:val="single" w:color="BFBFBF" w:sz="2"/>
          <w:bottom w:val="single" w:color="7F7F7F" w:sz="4"/>
          <w:right w:val="single" w:color="BFBFBF" w:sz="2"/>
          <w:insideH w:val="single" w:color="BFBFBF" w:sz="2"/>
          <w:insideV w:val="single" w:color="BFBFBF" w:sz="2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40%"/>
            <w:shd w:fill="EFEF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1"/>
                <w:szCs w:val="21"/>
              </w:rPr>
              <w:t xml:space="preserve">路径</w:t>
            </w:r>
          </w:p>
        </w:tc>
        <w:tc>
          <w:tcPr>
            <w:tcW w:type="pct" w:w="60%"/>
            <w:shd w:fill="EFEF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1"/>
                <w:szCs w:val="21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models/signal_registry.json</w:t>
            </w:r>
          </w:p>
        </w:tc>
        <w:tc>
          <w:tcPr>
            <w:tcW w:type="pct" w:w="6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信号注册表：工具规则置信状态、抑制池、回填确认记录（原子写入：临时文件 + 原子替换）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models/conformal_calibration.json</w:t>
            </w:r>
          </w:p>
        </w:tc>
        <w:tc>
          <w:tcPr>
            <w:tcW w:type="pct" w:w="6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共形预测校准阈值（评估侧拟合、生产端加载，可审计降级）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models/semgrep_rules/</w:t>
            </w:r>
          </w:p>
        </w:tc>
        <w:tc>
          <w:tcPr>
            <w:tcW w:type="pct" w:w="6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本地化 Semgrep 规则包（离线可用，无需在线拉取规则）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models/adapter_*/</w:t>
            </w:r>
          </w:p>
        </w:tc>
        <w:tc>
          <w:tcPr>
            <w:tcW w:type="pct" w:w="6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LoRA 适配器权重（含训练配置），高精度形态按目录探测自动启用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models/ollama/</w:t>
            </w:r>
          </w:p>
        </w:tc>
        <w:tc>
          <w:tcPr>
            <w:tcW w:type="pct" w:w="6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发布形态量化模型（启动器锁定模型存储到项目目录，不占用系统盘）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models/transformers/</w:t>
            </w:r>
          </w:p>
        </w:tc>
        <w:tc>
          <w:tcPr>
            <w:tcW w:type="pct" w:w="6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本地基座模型（高精度形态使用）</w:t>
            </w:r>
          </w:p>
        </w:tc>
      </w:tr>
    </w:tbl>
    <w:p>
      <w:pPr>
        <w:pStyle w:val="Heading2"/>
        <w:spacing w:after="140" w:before="280" w:line="360" w:lineRule="atLeast"/>
      </w:pPr>
      <w:bookmarkStart w:id="100033" w:name="_Toc100033"/>
      <w:r>
        <w:rPr>
          <w:rFonts w:ascii="Times New Roman" w:eastAsia="SimHei"/>
          <w:b/>
          <w:bCs/>
          <w:color w:val="000000"/>
          <w:sz w:val="30"/>
          <w:szCs w:val="30"/>
        </w:rPr>
        <w:t xml:space="preserve">5.3  向量知识库</w:t>
      </w:r>
      <w:bookmarkEnd w:id="100033"/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漏洞知识库采用嵌入式向量数据库 Chroma，持久化于 data/chroma_db，集合名 vuln_knowledge。向量化模型选用多语言模型 BAAI/bge-m3（知识库以中文漏洞资料为主，纯英文小模型中文检索质量不足）；运行时强制本地离线模式，绝不联网下载。检索参数：以源码前 2000 字符为查询、返回前 3 条；知识库初始化失败时静默降级为不检索并记忆失败状态，避免反复重试——知识库增强属可选开关，开启后推理时间增加不足 2%。</w:t>
      </w:r>
    </w:p>
    <w:p>
      <w:pPr>
        <w:pStyle w:val="Heading2"/>
        <w:spacing w:after="140" w:before="280" w:line="360" w:lineRule="atLeast"/>
      </w:pPr>
      <w:bookmarkStart w:id="100034" w:name="_Toc100034"/>
      <w:r>
        <w:rPr>
          <w:rFonts w:ascii="Times New Roman" w:eastAsia="SimHei"/>
          <w:b/>
          <w:bCs/>
          <w:color w:val="000000"/>
          <w:sz w:val="30"/>
          <w:szCs w:val="30"/>
        </w:rPr>
        <w:t xml:space="preserve">5.4  前端持久化</w:t>
      </w:r>
      <w:bookmarkEnd w:id="100034"/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浏览器端以 localStorage 持久化主题设置、扫描轮次、扫描结果与报告历史，旧结构自动迁移；批量扫描以双保险机制保证「一轮只入账一次」。深度健康检查结果以 sessionStorage 短期缓存，页面切换时主动中止进行中的检查请求，避免占满同域并发连接。</w:t>
      </w:r>
    </w:p>
    <w:p>
      <w:pPr>
        <w:pStyle w:val="Heading2"/>
        <w:spacing w:after="140" w:before="280" w:line="360" w:lineRule="atLeast"/>
      </w:pPr>
      <w:bookmarkStart w:id="100035" w:name="_Toc100035"/>
      <w:r>
        <w:rPr>
          <w:rFonts w:ascii="Times New Roman" w:eastAsia="SimHei"/>
          <w:b/>
          <w:bCs/>
          <w:color w:val="000000"/>
          <w:sz w:val="30"/>
          <w:szCs w:val="30"/>
        </w:rPr>
        <w:t xml:space="preserve">5.5  数据生命周期</w:t>
      </w:r>
      <w:bookmarkEnd w:id="100035"/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运行期临时数据：仓库扫描浅克隆至系统临时目录，120 秒超时、禁用交互凭据提示，扫描后立即递归删除；无任何代码内容落盘到项目目录。卸载：卸载器支持试运行（只列将删内容）、保留 Ollama 与模型、仅清依赖不删项目三种分级；外部安全工具为系统级安装，不随卸载自动删除并在卸载时提示。合规边界：运行期推理框架强制离线模式，除用户主动的首次下载外不产生对外网络请求。</w:t>
      </w:r>
    </w:p>
    <w:p>
      <w:pPr>
        <w:pStyle w:val="Heading1"/>
        <w:spacing w:after="200" w:before="360" w:line="380" w:lineRule="atLeast"/>
      </w:pPr>
      <w:bookmarkStart w:id="100036" w:name="_Toc100036"/>
      <w:r>
        <w:rPr>
          <w:rFonts w:ascii="Times New Roman" w:eastAsia="SimHei"/>
          <w:b/>
          <w:bCs/>
          <w:color w:val="000000"/>
          <w:sz w:val="32"/>
          <w:szCs w:val="32"/>
        </w:rPr>
        <w:t xml:space="preserve">6  软件界面设计书</w:t>
      </w:r>
      <w:bookmarkEnd w:id="100036"/>
    </w:p>
    <w:p>
      <w:pPr>
        <w:pStyle w:val="Heading2"/>
        <w:spacing w:after="140" w:before="280" w:line="360" w:lineRule="atLeast"/>
      </w:pPr>
      <w:bookmarkStart w:id="100037" w:name="_Toc100037"/>
      <w:r>
        <w:rPr>
          <w:rFonts w:ascii="Times New Roman" w:eastAsia="SimHei"/>
          <w:b/>
          <w:bCs/>
          <w:color w:val="000000"/>
          <w:sz w:val="30"/>
          <w:szCs w:val="30"/>
        </w:rPr>
        <w:t xml:space="preserve">6.1  设计系统</w:t>
      </w:r>
      <w:bookmarkEnd w:id="100037"/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界面遵循「专业的安全工具应该是隐形的，数据大于装饰」的设计哲学：不以动画堆砌吸引眼球，而把数据清晰度放在首位。实现上采用双层设计令牌体系：底层 design-tokens.css 以 CSS 变量定义颜色、圆角、间距、阴影与字体，经语义映射为统一的界面令牌，五个页面共用；动效层统一定义缓动曲线、玻璃卡片与导航样式。深浅双色主题完整覆盖；页面头部内联脚本在样式表加载前读取主题设置，规避刷新闪烁；尊重系统的减弱动态效果偏好。</w:t>
      </w:r>
    </w:p>
    <w:p>
      <w:pPr>
        <w:pStyle w:val="Heading2"/>
        <w:spacing w:after="140" w:before="280" w:line="360" w:lineRule="atLeast"/>
      </w:pPr>
      <w:bookmarkStart w:id="100038" w:name="_Toc100038"/>
      <w:r>
        <w:rPr>
          <w:rFonts w:ascii="Times New Roman" w:eastAsia="SimHei"/>
          <w:b/>
          <w:bCs/>
          <w:color w:val="000000"/>
          <w:sz w:val="30"/>
          <w:szCs w:val="30"/>
        </w:rPr>
        <w:t xml:space="preserve">6.2  信息架构与页面清单</w:t>
      </w:r>
      <w:bookmarkEnd w:id="100038"/>
    </w:p>
    <w:p>
      <w:pPr>
        <w:keepNext/>
        <w:spacing w:after="80" w:before="160" w:line="312"/>
        <w:jc w:val="center"/>
      </w:pPr>
      <w:r>
        <w:rPr>
          <w:rFonts w:ascii="Times New Roman" w:eastAsia="SimHei"/>
          <w:b/>
          <w:bCs/>
          <w:color w:val="000000"/>
          <w:sz w:val="21"/>
          <w:szCs w:val="21"/>
        </w:rPr>
        <w:t xml:space="preserve">表 6-1  页面清单</w:t>
      </w:r>
    </w:p>
    <w:tbl>
      <w:tblPr>
        <w:tblW w:type="pct" w:w="100%"/>
        <w:tblBorders>
          <w:top w:val="single" w:color="7F7F7F" w:sz="4"/>
          <w:left w:val="single" w:color="BFBFBF" w:sz="2"/>
          <w:bottom w:val="single" w:color="7F7F7F" w:sz="4"/>
          <w:right w:val="single" w:color="BFBFBF" w:sz="2"/>
          <w:insideH w:val="single" w:color="BFBFBF" w:sz="2"/>
          <w:insideV w:val="single" w:color="BFBFBF" w:sz="2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4%"/>
            <w:shd w:fill="EFEF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1"/>
                <w:szCs w:val="21"/>
              </w:rPr>
              <w:t xml:space="preserve">页面</w:t>
            </w:r>
          </w:p>
        </w:tc>
        <w:tc>
          <w:tcPr>
            <w:tcW w:type="pct" w:w="76%"/>
            <w:shd w:fill="EFEF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1"/>
                <w:szCs w:val="21"/>
              </w:rPr>
              <w:t xml:space="preserve">职责</w:t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欢迎页</w:t>
            </w:r>
          </w:p>
        </w:tc>
        <w:tc>
          <w:tcPr>
            <w:tcW w:type="pct" w:w="7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首次访问引导与入口导航</w:t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仪表盘</w:t>
            </w:r>
          </w:p>
        </w:tc>
        <w:tc>
          <w:tcPr>
            <w:tcW w:type="pct" w:w="7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历史扫描统计、引擎健康状态、最近发现的漏洞</w:t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扫描工作台</w:t>
            </w:r>
          </w:p>
        </w:tc>
        <w:tc>
          <w:tcPr>
            <w:tcW w:type="pct" w:w="7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核心功能页：粘贴/上传/批量/GitHub/网页五类扫描入口与结果区</w:t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CWE 样本库</w:t>
            </w:r>
          </w:p>
        </w:tc>
        <w:tc>
          <w:tcPr>
            <w:tcW w:type="pct" w:w="7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16 类常见漏洞的可搜索示例与修复方案，支持深链接直达</w:t>
            </w:r>
          </w:p>
        </w:tc>
      </w:tr>
      <w:tr>
        <w:trPr>
          <w:cantSplit/>
        </w:trPr>
        <w:tc>
          <w:tcPr>
            <w:tcW w:type="pct" w:w="2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安全态势</w:t>
            </w:r>
          </w:p>
        </w:tc>
        <w:tc>
          <w:tcPr>
            <w:tcW w:type="pct" w:w="7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整体安全态势总览与趋势</w:t>
            </w:r>
          </w:p>
        </w:tc>
      </w:tr>
    </w:tbl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页面间以深链接互通（样本直达、标签定位、文件定位三类参数），形成从「扫描结果 → CWE 样本解释 → 发起下一次扫描」的闭环。</w:t>
      </w:r>
    </w:p>
    <w:p>
      <w:pPr>
        <w:pStyle w:val="Heading2"/>
        <w:spacing w:after="140" w:before="280" w:line="360" w:lineRule="atLeast"/>
      </w:pPr>
      <w:bookmarkStart w:id="100039" w:name="_Toc100039"/>
      <w:r>
        <w:rPr>
          <w:rFonts w:ascii="Times New Roman" w:eastAsia="SimHei"/>
          <w:b/>
          <w:bCs/>
          <w:color w:val="000000"/>
          <w:sz w:val="30"/>
          <w:szCs w:val="30"/>
        </w:rPr>
        <w:t xml:space="preserve">6.3  界面总览</w:t>
      </w:r>
      <w:bookmarkEnd w:id="100039"/>
    </w:p>
    <w:p>
      <w:pPr>
        <w:spacing w:after="8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主要界面如图 6-1 至图 6-6 所示（界面文字为内核开发期代号 Nivis，软件发布名为「凿凿（ZaoZao）」）。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4572000" cy="2562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60" w:line="312"/>
        <w:jc w:val="center"/>
      </w:pPr>
      <w:r>
        <w:rPr>
          <w:rFonts w:ascii="Times New Roman" w:eastAsia="SimHei"/>
          <w:b/>
          <w:bCs/>
          <w:color w:val="000000"/>
          <w:sz w:val="21"/>
          <w:szCs w:val="21"/>
        </w:rPr>
        <w:t xml:space="preserve">图 6-1  仪表盘：扫描统计与健康状态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4572000" cy="2276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60" w:line="312"/>
        <w:jc w:val="center"/>
      </w:pPr>
      <w:r>
        <w:rPr>
          <w:rFonts w:ascii="Times New Roman" w:eastAsia="SimHei"/>
          <w:b/>
          <w:bCs/>
          <w:color w:val="000000"/>
          <w:sz w:val="21"/>
          <w:szCs w:val="21"/>
        </w:rPr>
        <w:t xml:space="preserve">图 6-2  扫描工作台：五类扫描入口与结果区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4191000" cy="2943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60" w:line="312"/>
        <w:jc w:val="center"/>
      </w:pPr>
      <w:r>
        <w:rPr>
          <w:rFonts w:ascii="Times New Roman" w:eastAsia="SimHei"/>
          <w:b/>
          <w:bCs/>
          <w:color w:val="000000"/>
          <w:sz w:val="21"/>
          <w:szCs w:val="21"/>
        </w:rPr>
        <w:t xml:space="preserve">图 6-3  结果详情：CWE 归因、证据链与修复建议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4572000" cy="4133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60" w:line="312"/>
        <w:jc w:val="center"/>
      </w:pPr>
      <w:r>
        <w:rPr>
          <w:rFonts w:ascii="Times New Roman" w:eastAsia="SimHei"/>
          <w:b/>
          <w:bCs/>
          <w:color w:val="000000"/>
          <w:sz w:val="21"/>
          <w:szCs w:val="21"/>
        </w:rPr>
        <w:t xml:space="preserve">图 6-4  报告历史：Markdown 报告与 SARIF 导出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4572000" cy="2571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60" w:line="312"/>
        <w:jc w:val="center"/>
      </w:pPr>
      <w:r>
        <w:rPr>
          <w:rFonts w:ascii="Times New Roman" w:eastAsia="SimHei"/>
          <w:b/>
          <w:bCs/>
          <w:color w:val="000000"/>
          <w:sz w:val="21"/>
          <w:szCs w:val="21"/>
        </w:rPr>
        <w:t xml:space="preserve">图 6-5  CWE 样本库：可搜索示例与修复方案</w:t>
      </w:r>
    </w:p>
    <w:p>
      <w:pPr>
        <w:keepNext/>
        <w:spacing w:after="0" w:before="120"/>
        <w:jc w:val="center"/>
      </w:pPr>
      <w:r>
        <w:drawing>
          <wp:inline distT="0" distB="0" distL="0" distR="0">
            <wp:extent cx="4572000" cy="609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60" w:line="312"/>
        <w:jc w:val="center"/>
      </w:pPr>
      <w:r>
        <w:rPr>
          <w:rFonts w:ascii="Times New Roman" w:eastAsia="SimHei"/>
          <w:b/>
          <w:bCs/>
          <w:color w:val="000000"/>
          <w:sz w:val="21"/>
          <w:szCs w:val="21"/>
        </w:rPr>
        <w:t xml:space="preserve">图 6-6  安全态势总览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编辑器插件界面包含 VS Code 诊断波浪线与信任层明细面板、IntelliJ 气球通知两种形态。【截图待补：VS Code 插件行级标记与结果面板；IntelliJ 插件气球通知】</w:t>
      </w:r>
    </w:p>
    <w:p>
      <w:pPr>
        <w:pStyle w:val="Heading2"/>
        <w:spacing w:after="140" w:before="280" w:line="360" w:lineRule="atLeast"/>
      </w:pPr>
      <w:bookmarkStart w:id="100040" w:name="_Toc100040"/>
      <w:r>
        <w:rPr>
          <w:rFonts w:ascii="Times New Roman" w:eastAsia="SimHei"/>
          <w:b/>
          <w:bCs/>
          <w:color w:val="000000"/>
          <w:sz w:val="30"/>
          <w:szCs w:val="30"/>
        </w:rPr>
        <w:t xml:space="preserve">6.4  关键交互</w:t>
      </w:r>
      <w:bookmarkEnd w:id="100040"/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评分圆环以三角函数逐帧重算圆弧路径，从根源规避浏览器圆头线帽与虚线动画叠加产生的渲染位移；全部图表（趋势折线、环形分布、柱状图、评分圆环）为零依赖手写 SVG，离线可用。主题切换采用视图过渡 API 实现交叉淡化，带防重入锁并跨标签页同步，不支持的浏览器直接切换。批量扫描以 NDJSON 流式逐行解析进度，扫完一个即入账一个。深度健康检查最坏耗时 30 秒以上，以会话级缓存避免重复请求。</w:t>
      </w:r>
    </w:p>
    <w:p>
      <w:pPr>
        <w:pStyle w:val="Heading1"/>
        <w:spacing w:after="200" w:before="360" w:line="380" w:lineRule="atLeast"/>
      </w:pPr>
      <w:bookmarkStart w:id="100041" w:name="_Toc100041"/>
      <w:r>
        <w:rPr>
          <w:rFonts w:ascii="Times New Roman" w:eastAsia="SimHei"/>
          <w:b/>
          <w:bCs/>
          <w:color w:val="000000"/>
          <w:sz w:val="32"/>
          <w:szCs w:val="32"/>
        </w:rPr>
        <w:t xml:space="preserve">7  用户操作手册</w:t>
      </w:r>
      <w:bookmarkEnd w:id="100041"/>
    </w:p>
    <w:p>
      <w:pPr>
        <w:pStyle w:val="Heading2"/>
        <w:spacing w:after="140" w:before="280" w:line="360" w:lineRule="atLeast"/>
      </w:pPr>
      <w:bookmarkStart w:id="100042" w:name="_Toc100042"/>
      <w:r>
        <w:rPr>
          <w:rFonts w:ascii="Times New Roman" w:eastAsia="SimHei"/>
          <w:b/>
          <w:bCs/>
          <w:color w:val="000000"/>
          <w:sz w:val="30"/>
          <w:szCs w:val="30"/>
        </w:rPr>
        <w:t xml:space="preserve">7.1  三个最常用的任务</w:t>
      </w:r>
      <w:bookmarkEnd w:id="100042"/>
    </w:p>
    <w:p>
      <w:pPr>
        <w:spacing w:after="60" w:line="312"/>
        <w:ind w:firstLine="480"/>
        <w:jc w:val="both"/>
      </w:pPr>
      <w:r>
        <w:rPr>
          <w:rFonts w:ascii="Times New Roman" w:eastAsia="SimHei"/>
          <w:b/>
          <w:bCs/>
          <w:color w:val="000000"/>
          <w:sz w:val="24"/>
          <w:szCs w:val="24"/>
        </w:rPr>
        <w:t xml:space="preserve">任务 A（扫一段代码/一个文件）：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打开本机服务地址进入扫描工作台；在「粘贴代码」标签选择语言、粘贴代码后点「开始分析」，或在「上传文件」标签拖入文件；等待十几秒后结果区给出判定、CWE 类型、风险等级、原理说明与修复建议。</w:t>
      </w:r>
    </w:p>
    <w:p>
      <w:pPr>
        <w:spacing w:after="60" w:line="312"/>
        <w:ind w:firstLine="480"/>
        <w:jc w:val="both"/>
      </w:pPr>
      <w:r>
        <w:rPr>
          <w:rFonts w:ascii="Times New Roman" w:eastAsia="SimHei"/>
          <w:b/>
          <w:bCs/>
          <w:color w:val="000000"/>
          <w:sz w:val="24"/>
          <w:szCs w:val="24"/>
        </w:rPr>
        <w:t xml:space="preserve">任务 B（批量扫描并导出报告）：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在工作台「上传文件」一次拖入整个模块的代码文件（最多 200 个）；点「开始分析」后页面实时显示进度；完成后点「下载报告」得到 Markdown 报告（漏洞汇总表 + 逐文件结果 + 修复建议），亦可导出 SARIF。</w:t>
      </w:r>
    </w:p>
    <w:p>
      <w:pPr>
        <w:spacing w:after="60" w:line="312"/>
        <w:ind w:firstLine="480"/>
        <w:jc w:val="both"/>
      </w:pPr>
      <w:r>
        <w:rPr>
          <w:rFonts w:ascii="Times New Roman" w:eastAsia="SimHei"/>
          <w:b/>
          <w:bCs/>
          <w:color w:val="000000"/>
          <w:sz w:val="24"/>
          <w:szCs w:val="24"/>
        </w:rPr>
        <w:t xml:space="preserve">任务 C（扫 GitHub 仓库/网页）：</w:t>
      </w: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「GitHub」标签粘贴仓库地址、设置最多扫描文件数后开始，系统浅克隆、扫完即删；「URL」标签输入网页地址即可分析页面脚本。</w:t>
      </w:r>
    </w:p>
    <w:p>
      <w:pPr>
        <w:pStyle w:val="Heading2"/>
        <w:spacing w:after="140" w:before="280" w:line="360" w:lineRule="atLeast"/>
      </w:pPr>
      <w:bookmarkStart w:id="100043" w:name="_Toc100043"/>
      <w:r>
        <w:rPr>
          <w:rFonts w:ascii="Times New Roman" w:eastAsia="SimHei"/>
          <w:b/>
          <w:bCs/>
          <w:color w:val="000000"/>
          <w:sz w:val="30"/>
          <w:szCs w:val="30"/>
        </w:rPr>
        <w:t xml:space="preserve">7.2  读懂扫描结果</w:t>
      </w:r>
      <w:bookmarkEnd w:id="100043"/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判定语义、结果字段与安全评分见 2.3 节。使用中需注意：「需人工复核」不是出错而是设计；扫描结果与 Bandit/Semgrep 存在三类正常差异（放行有效防御、报出语义类漏洞、低置信转复核）。</w:t>
      </w:r>
    </w:p>
    <w:p>
      <w:pPr>
        <w:pStyle w:val="Heading2"/>
        <w:spacing w:after="140" w:before="280" w:line="360" w:lineRule="atLeast"/>
      </w:pPr>
      <w:bookmarkStart w:id="100044" w:name="_Toc100044"/>
      <w:r>
        <w:rPr>
          <w:rFonts w:ascii="Times New Roman" w:eastAsia="SimHei"/>
          <w:b/>
          <w:bCs/>
          <w:color w:val="000000"/>
          <w:sz w:val="30"/>
          <w:szCs w:val="30"/>
        </w:rPr>
        <w:t xml:space="preserve">7.3  Web 界面导览</w:t>
      </w:r>
      <w:bookmarkEnd w:id="100044"/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五页面职责见 6.2 节表 6-1。界面右上角为模型管理抽屉；所有页面支持深浅色主题切换，图表离线可用。</w:t>
      </w:r>
    </w:p>
    <w:p>
      <w:pPr>
        <w:pStyle w:val="Heading2"/>
        <w:spacing w:after="140" w:before="280" w:line="360" w:lineRule="atLeast"/>
      </w:pPr>
      <w:bookmarkStart w:id="100045" w:name="_Toc100045"/>
      <w:r>
        <w:rPr>
          <w:rFonts w:ascii="Times New Roman" w:eastAsia="SimHei"/>
          <w:b/>
          <w:bCs/>
          <w:color w:val="000000"/>
          <w:sz w:val="30"/>
          <w:szCs w:val="30"/>
        </w:rPr>
        <w:t xml:space="preserve">7.4  在编辑器里使用</w:t>
      </w:r>
      <w:bookmarkEnd w:id="100045"/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前置条件：本机后端服务已启动。VS Code：在扩展面板选择「从 VSIX 安装」并选择作品附带的插件包；打开代码文件后右键「分析当前文件」，结果面板展示判定、修复建议与信任层明细，确认漏洞按行号标红波浪线；命令面板可批量扫描工作区；常用设置包括后端地址、保存自动扫描（1.5 秒防抖）与批量文件上限。IntelliJ IDEA：从磁盘安装作品附带的插件包并重启；选中代码（不选则扫整个文件）右键扫描或用快捷键，结果以气球通知展示。</w:t>
      </w:r>
    </w:p>
    <w:p>
      <w:pPr>
        <w:pStyle w:val="Heading2"/>
        <w:spacing w:after="140" w:before="280" w:line="360" w:lineRule="atLeast"/>
      </w:pPr>
      <w:bookmarkStart w:id="100046" w:name="_Toc100046"/>
      <w:r>
        <w:rPr>
          <w:rFonts w:ascii="Times New Roman" w:eastAsia="SimHei"/>
          <w:b/>
          <w:bCs/>
          <w:color w:val="000000"/>
          <w:sz w:val="30"/>
          <w:szCs w:val="30"/>
        </w:rPr>
        <w:t xml:space="preserve">7.5  命令行使用</w:t>
      </w:r>
      <w:bookmarkEnd w:id="100046"/>
    </w:p>
    <w:p>
      <w:pPr>
        <w:spacing w:after="4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命令行无需先启动后端服务，直接复用扫描引擎：</w:t>
      </w:r>
    </w:p>
    <w:p>
      <w:pPr>
        <w:shd w:fill="F5F5F5" w:val="clear"/>
        <w:spacing w:after="0" w:before="80" w:line="276"/>
        <w:ind w:left="360" w:right="360"/>
      </w:pPr>
      <w:r>
        <w:rPr>
          <w:rFonts w:ascii="Consolas" w:eastAsia="SimSun"/>
          <w:color w:val="1F1F1F"/>
          <w:sz w:val="18"/>
          <w:szCs w:val="18"/>
        </w:rPr>
        <w:t xml:space="preserve">python -m app.launcher.vuln_scanner_cli &lt;命令&gt;</w:t>
      </w:r>
    </w:p>
    <w:p>
      <w:pPr>
        <w:shd w:fill="F5F5F5" w:val="clear"/>
        <w:spacing w:after="0" w:before="0" w:line="276"/>
        <w:ind w:left="360" w:right="360"/>
      </w:pPr>
      <w:r>
        <w:rPr>
          <w:rFonts w:ascii="Consolas" w:eastAsia="SimSun"/>
          <w:color w:val="1F1F1F"/>
          <w:sz w:val="18"/>
          <w:szCs w:val="18"/>
        </w:rPr>
        <w:t xml:space="preserve">health            # 健康检查（模型/服务是否可用）</w:t>
      </w:r>
    </w:p>
    <w:p>
      <w:pPr>
        <w:shd w:fill="F5F5F5" w:val="clear"/>
        <w:spacing w:after="0" w:before="0" w:line="276"/>
        <w:ind w:left="360" w:right="360"/>
      </w:pPr>
      <w:r>
        <w:rPr>
          <w:rFonts w:ascii="Consolas" w:eastAsia="SimSun"/>
          <w:color w:val="1F1F1F"/>
          <w:sz w:val="18"/>
          <w:szCs w:val="18"/>
        </w:rPr>
        <w:t xml:space="preserve">scan app/main.py  # 扫单个文件（--format json 可输出 JSON）</w:t>
      </w:r>
    </w:p>
    <w:p>
      <w:pPr>
        <w:shd w:fill="F5F5F5" w:val="clear"/>
        <w:spacing w:after="0" w:before="0" w:line="276"/>
        <w:ind w:left="360" w:right="360"/>
      </w:pPr>
      <w:r>
        <w:rPr>
          <w:rFonts w:ascii="Consolas" w:eastAsia="SimSun"/>
          <w:color w:val="1F1F1F"/>
          <w:sz w:val="18"/>
          <w:szCs w:val="18"/>
        </w:rPr>
        <w:t xml:space="preserve">batch ./src --output report.md   # 批量扫目录并导出报告</w:t>
      </w:r>
    </w:p>
    <w:p>
      <w:pPr>
        <w:shd w:fill="F5F5F5" w:val="clear"/>
        <w:spacing w:after="0" w:before="0" w:line="276"/>
        <w:ind w:left="360" w:right="360"/>
      </w:pPr>
      <w:r>
        <w:rPr>
          <w:rFonts w:ascii="Consolas" w:eastAsia="SimSun"/>
          <w:color w:val="1F1F1F"/>
          <w:sz w:val="18"/>
          <w:szCs w:val="18"/>
        </w:rPr>
        <w:t xml:space="preserve">url https://example.com          # 扫网页脚本</w:t>
      </w:r>
    </w:p>
    <w:p>
      <w:pPr>
        <w:shd w:fill="F5F5F5" w:val="clear"/>
        <w:spacing w:after="120" w:before="0" w:line="276"/>
        <w:ind w:left="360" w:right="360"/>
      </w:pPr>
      <w:r>
        <w:rPr>
          <w:rFonts w:ascii="Consolas" w:eastAsia="SimSun"/>
          <w:color w:val="1F1F1F"/>
          <w:sz w:val="18"/>
          <w:szCs w:val="18"/>
        </w:rPr>
        <w:t xml:space="preserve">github &lt;仓库地址&gt;                 # 扫 GitHub 仓库（浅克隆）</w:t>
      </w:r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通用参数：--model 切换模型、--rag 开启知识库、--format 选择输出格式。扫描失败时退出码为 1，可直接接入 CI 做提交前检查。</w:t>
      </w:r>
    </w:p>
    <w:p>
      <w:pPr>
        <w:pStyle w:val="Heading2"/>
        <w:spacing w:after="140" w:before="280" w:line="360" w:lineRule="atLeast"/>
      </w:pPr>
      <w:bookmarkStart w:id="100047" w:name="_Toc100047"/>
      <w:r>
        <w:rPr>
          <w:rFonts w:ascii="Times New Roman" w:eastAsia="SimHei"/>
          <w:b/>
          <w:bCs/>
          <w:color w:val="000000"/>
          <w:sz w:val="30"/>
          <w:szCs w:val="30"/>
        </w:rPr>
        <w:t xml:space="preserve">7.6  离线使用与模型管理</w:t>
      </w:r>
      <w:bookmarkEnd w:id="100047"/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联网仅在首次下载依赖与模型时需要，运行期完全离线。模型管理优先使用 Web 界面的模型抽屉（拉取/删除/切换，带实时进度），亦可用命令行参数或环境变量切换。两档精度形态见 3.5 节，界面如实显示当前形态；国内网络环境一般无需手动配置代理。</w:t>
      </w:r>
    </w:p>
    <w:p>
      <w:pPr>
        <w:pStyle w:val="Heading2"/>
        <w:spacing w:after="140" w:before="280" w:line="360" w:lineRule="atLeast"/>
      </w:pPr>
      <w:bookmarkStart w:id="100048" w:name="_Toc100048"/>
      <w:r>
        <w:rPr>
          <w:rFonts w:ascii="Times New Roman" w:eastAsia="SimHei"/>
          <w:b/>
          <w:bCs/>
          <w:color w:val="000000"/>
          <w:sz w:val="30"/>
          <w:szCs w:val="30"/>
        </w:rPr>
        <w:t xml:space="preserve">7.7  常见问题与处理</w:t>
      </w:r>
      <w:bookmarkEnd w:id="100048"/>
    </w:p>
    <w:p>
      <w:pPr>
        <w:keepNext/>
        <w:spacing w:after="80" w:before="160" w:line="312"/>
        <w:jc w:val="center"/>
      </w:pPr>
      <w:r>
        <w:rPr>
          <w:rFonts w:ascii="Times New Roman" w:eastAsia="SimHei"/>
          <w:b/>
          <w:bCs/>
          <w:color w:val="000000"/>
          <w:sz w:val="21"/>
          <w:szCs w:val="21"/>
        </w:rPr>
        <w:t xml:space="preserve">表 7-1  常见问题与处理</w:t>
      </w:r>
    </w:p>
    <w:tbl>
      <w:tblPr>
        <w:tblW w:type="pct" w:w="100%"/>
        <w:tblBorders>
          <w:top w:val="single" w:color="7F7F7F" w:sz="4"/>
          <w:left w:val="single" w:color="BFBFBF" w:sz="2"/>
          <w:bottom w:val="single" w:color="7F7F7F" w:sz="4"/>
          <w:right w:val="single" w:color="BFBFBF" w:sz="2"/>
          <w:insideH w:val="single" w:color="BFBFBF" w:sz="2"/>
          <w:insideV w:val="single" w:color="BFBFBF" w:sz="2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40%"/>
            <w:shd w:fill="EFEF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1"/>
                <w:szCs w:val="21"/>
              </w:rPr>
              <w:t xml:space="preserve">现象</w:t>
            </w:r>
          </w:p>
        </w:tc>
        <w:tc>
          <w:tcPr>
            <w:tcW w:type="pct" w:w="60%"/>
            <w:shd w:fill="EFEF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1"/>
                <w:szCs w:val="21"/>
              </w:rPr>
              <w:t xml:space="preserve">处理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扫描很慢（超过 60 秒/文件）</w:t>
            </w:r>
          </w:p>
        </w:tc>
        <w:tc>
          <w:tcPr>
            <w:tcW w:type="pct" w:w="6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大概率在用 CPU 推理：查看启动日志硬件检测段；有独立显卡却走 CPU 时重启启动脚本，或显式设置后端环境变量为 ollama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结果全是「需人工复核」</w:t>
            </w:r>
          </w:p>
        </w:tc>
        <w:tc>
          <w:tcPr>
            <w:tcW w:type="pct" w:w="6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模型可能未正确加载：运行 health 命令检查，确认模型名一致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显存不足（OOM）</w:t>
            </w:r>
          </w:p>
        </w:tc>
        <w:tc>
          <w:tcPr>
            <w:tcW w:type="pct" w:w="6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调小上下文窗口：设置环境变量 VULN_SCANNER_NUM_CTX=4096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启动报端口被占用</w:t>
            </w:r>
          </w:p>
        </w:tc>
        <w:tc>
          <w:tcPr>
            <w:tcW w:type="pct" w:w="6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查找并结束占用 8765 端口的进程后重启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VS Code 插件没反应</w:t>
            </w:r>
          </w:p>
        </w:tc>
        <w:tc>
          <w:tcPr>
            <w:tcW w:type="pct" w:w="6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确认后端已启动且健康接口可访问；核对插件后端地址设置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红波浪线没显示</w:t>
            </w:r>
          </w:p>
        </w:tc>
        <w:tc>
          <w:tcPr>
            <w:tcW w:type="pct" w:w="6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插件设置 markDiagnostics 需为开启；个别无法定位到行的情况只在面板展示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Linux 上模型没进项目目录</w:t>
            </w:r>
          </w:p>
        </w:tc>
        <w:tc>
          <w:tcPr>
            <w:tcW w:type="pct" w:w="6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系统自带 ollama 服务抢占：停用系统服务后重启启动脚本</w:t>
            </w:r>
          </w:p>
        </w:tc>
      </w:tr>
    </w:tbl>
    <w:p>
      <w:pPr>
        <w:pStyle w:val="Heading1"/>
        <w:spacing w:after="200" w:before="360" w:line="380" w:lineRule="atLeast"/>
      </w:pPr>
      <w:bookmarkStart w:id="100049" w:name="_Toc100049"/>
      <w:r>
        <w:rPr>
          <w:rFonts w:ascii="Times New Roman" w:eastAsia="SimHei"/>
          <w:b/>
          <w:bCs/>
          <w:color w:val="000000"/>
          <w:sz w:val="32"/>
          <w:szCs w:val="32"/>
        </w:rPr>
        <w:t xml:space="preserve">8  安装手册</w:t>
      </w:r>
      <w:bookmarkEnd w:id="100049"/>
    </w:p>
    <w:p>
      <w:pPr>
        <w:pStyle w:val="Heading2"/>
        <w:spacing w:after="140" w:before="280" w:line="360" w:lineRule="atLeast"/>
      </w:pPr>
      <w:bookmarkStart w:id="100050" w:name="_Toc100050"/>
      <w:r>
        <w:rPr>
          <w:rFonts w:ascii="Times New Roman" w:eastAsia="SimHei"/>
          <w:b/>
          <w:bCs/>
          <w:color w:val="000000"/>
          <w:sz w:val="30"/>
          <w:szCs w:val="30"/>
        </w:rPr>
        <w:t xml:space="preserve">8.1  环境要求</w:t>
      </w:r>
      <w:bookmarkEnd w:id="100050"/>
    </w:p>
    <w:p>
      <w:pPr>
        <w:keepNext/>
        <w:spacing w:after="80" w:before="160" w:line="312"/>
        <w:jc w:val="center"/>
      </w:pPr>
      <w:r>
        <w:rPr>
          <w:rFonts w:ascii="Times New Roman" w:eastAsia="SimHei"/>
          <w:b/>
          <w:bCs/>
          <w:color w:val="000000"/>
          <w:sz w:val="21"/>
          <w:szCs w:val="21"/>
        </w:rPr>
        <w:t xml:space="preserve">表 8-1  硬件与系统要求</w:t>
      </w:r>
    </w:p>
    <w:tbl>
      <w:tblPr>
        <w:tblW w:type="pct" w:w="100%"/>
        <w:tblBorders>
          <w:top w:val="single" w:color="7F7F7F" w:sz="4"/>
          <w:left w:val="single" w:color="BFBFBF" w:sz="2"/>
          <w:bottom w:val="single" w:color="7F7F7F" w:sz="4"/>
          <w:right w:val="single" w:color="BFBFBF" w:sz="2"/>
          <w:insideH w:val="single" w:color="BFBFBF" w:sz="2"/>
          <w:insideV w:val="single" w:color="BFBFBF" w:sz="2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2%"/>
            <w:shd w:fill="EFEF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1"/>
                <w:szCs w:val="21"/>
              </w:rPr>
              <w:t xml:space="preserve">项目</w:t>
            </w:r>
          </w:p>
        </w:tc>
        <w:tc>
          <w:tcPr>
            <w:tcW w:type="pct" w:w="39%"/>
            <w:shd w:fill="EFEF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1"/>
                <w:szCs w:val="21"/>
              </w:rPr>
              <w:t xml:space="preserve">最低要求</w:t>
            </w:r>
          </w:p>
        </w:tc>
        <w:tc>
          <w:tcPr>
            <w:tcW w:type="pct" w:w="39%"/>
            <w:shd w:fill="EFEF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1"/>
                <w:szCs w:val="21"/>
              </w:rPr>
              <w:t xml:space="preserve">建议配置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操作系统</w:t>
            </w:r>
          </w:p>
        </w:tc>
        <w:tc>
          <w:tcPr>
            <w:tcW w:type="pct" w:w="39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Windows 10+ / Linux / macOS</w:t>
            </w:r>
          </w:p>
        </w:tc>
        <w:tc>
          <w:tcPr>
            <w:tcW w:type="pct" w:w="39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Python</w:t>
            </w:r>
          </w:p>
        </w:tc>
        <w:tc>
          <w:tcPr>
            <w:tcW w:type="pct" w:w="39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3.10 及以上（启动脚本自动检测）</w:t>
            </w:r>
          </w:p>
        </w:tc>
        <w:tc>
          <w:tcPr>
            <w:tcW w:type="pct" w:w="39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磁盘</w:t>
            </w:r>
          </w:p>
        </w:tc>
        <w:tc>
          <w:tcPr>
            <w:tcW w:type="pct" w:w="39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8GB（模型约 5GB + 依赖约 2GB）</w:t>
            </w:r>
          </w:p>
        </w:tc>
        <w:tc>
          <w:tcPr>
            <w:tcW w:type="pct" w:w="39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15GB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内存</w:t>
            </w:r>
          </w:p>
        </w:tc>
        <w:tc>
          <w:tcPr>
            <w:tcW w:type="pct" w:w="39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8GB</w:t>
            </w:r>
          </w:p>
        </w:tc>
        <w:tc>
          <w:tcPr>
            <w:tcW w:type="pct" w:w="39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16GB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显卡</w:t>
            </w:r>
          </w:p>
        </w:tc>
        <w:tc>
          <w:tcPr>
            <w:tcW w:type="pct" w:w="39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可无（自动回退 CPU，慢 10~20 倍）</w:t>
            </w:r>
          </w:p>
        </w:tc>
        <w:tc>
          <w:tcPr>
            <w:tcW w:type="pct" w:w="39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NVIDIA/AMD/Apple 独显，显存 ≥ 4GB</w:t>
            </w:r>
          </w:p>
        </w:tc>
      </w:tr>
    </w:tbl>
    <w:p>
      <w:pPr>
        <w:pStyle w:val="Heading2"/>
        <w:spacing w:after="140" w:before="280" w:line="360" w:lineRule="atLeast"/>
      </w:pPr>
      <w:bookmarkStart w:id="100051" w:name="_Toc100051"/>
      <w:r>
        <w:rPr>
          <w:rFonts w:ascii="Times New Roman" w:eastAsia="SimHei"/>
          <w:b/>
          <w:bCs/>
          <w:color w:val="000000"/>
          <w:sz w:val="30"/>
          <w:szCs w:val="30"/>
        </w:rPr>
        <w:t xml:space="preserve">8.2  获取与一键启动</w:t>
      </w:r>
      <w:bookmarkEnd w:id="100051"/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作品源码随提交材料以 ZIP 包提供，解压后进入项目目录：Windows 双击 app\launcher\start_windows.bat；Linux/macOS 执行 bash app/launcher/start_linux_macos.sh。启动器全自动完成后续步骤，用户只需等待。</w:t>
      </w:r>
    </w:p>
    <w:p>
      <w:pPr>
        <w:pStyle w:val="Heading2"/>
        <w:spacing w:after="140" w:before="280" w:line="360" w:lineRule="atLeast"/>
      </w:pPr>
      <w:bookmarkStart w:id="100052" w:name="_Toc100052"/>
      <w:r>
        <w:rPr>
          <w:rFonts w:ascii="Times New Roman" w:eastAsia="SimHei"/>
          <w:b/>
          <w:bCs/>
          <w:color w:val="000000"/>
          <w:sz w:val="30"/>
          <w:szCs w:val="30"/>
        </w:rPr>
        <w:t xml:space="preserve">8.3  首次启动流程</w:t>
      </w:r>
      <w:bookmarkEnd w:id="100052"/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首次启动依次自动完成五步：（1）安装 Python 依赖（国内自动走清华镜像）；（2）自动选择推理后端：检测到作品自带模型且显卡支持则用高精度形态，否则用发布形态（首次自动安装 Ollama 运行时）；（3）下载扫描模型（约 5GB）；（4）安装传统安全工具（缺哪个跳过哪个，不影响运行）；（5）启动服务并自动打开浏览器。首次启动耗时取决于网速（主要是模型下载）；之后每次启动通常 10 秒内完成。模型存储锁定在项目目录，不会占用系统盘。</w:t>
      </w:r>
    </w:p>
    <w:p>
      <w:pPr>
        <w:pStyle w:val="Heading2"/>
        <w:spacing w:after="140" w:before="280" w:line="360" w:lineRule="atLeast"/>
      </w:pPr>
      <w:bookmarkStart w:id="100053" w:name="_Toc100053"/>
      <w:r>
        <w:rPr>
          <w:rFonts w:ascii="Times New Roman" w:eastAsia="SimHei"/>
          <w:b/>
          <w:bCs/>
          <w:color w:val="000000"/>
          <w:sz w:val="30"/>
          <w:szCs w:val="30"/>
        </w:rPr>
        <w:t xml:space="preserve">8.4  确认安装成功</w:t>
      </w:r>
      <w:bookmarkEnd w:id="100053"/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浏览器打开 http://localhost:8765，看到欢迎页或仪表盘即成功；亦可在终端运行健康检查命令验证模型与服务状态。</w:t>
      </w:r>
    </w:p>
    <w:p>
      <w:pPr>
        <w:pStyle w:val="Heading2"/>
        <w:spacing w:after="140" w:before="280" w:line="360" w:lineRule="atLeast"/>
      </w:pPr>
      <w:bookmarkStart w:id="100054" w:name="_Toc100054"/>
      <w:r>
        <w:rPr>
          <w:rFonts w:ascii="Times New Roman" w:eastAsia="SimHei"/>
          <w:b/>
          <w:bCs/>
          <w:color w:val="000000"/>
          <w:sz w:val="30"/>
          <w:szCs w:val="30"/>
        </w:rPr>
        <w:t xml:space="preserve">8.5  卸载</w:t>
      </w:r>
      <w:bookmarkEnd w:id="100054"/>
    </w:p>
    <w:p>
      <w:pPr>
        <w:keepNext/>
        <w:spacing w:after="80" w:before="160" w:line="312"/>
        <w:jc w:val="center"/>
      </w:pPr>
      <w:r>
        <w:rPr>
          <w:rFonts w:ascii="Times New Roman" w:eastAsia="SimHei"/>
          <w:b/>
          <w:bCs/>
          <w:color w:val="000000"/>
          <w:sz w:val="21"/>
          <w:szCs w:val="21"/>
        </w:rPr>
        <w:t xml:space="preserve">表 8-2  卸载方式</w:t>
      </w:r>
    </w:p>
    <w:tbl>
      <w:tblPr>
        <w:tblW w:type="pct" w:w="100%"/>
        <w:tblBorders>
          <w:top w:val="single" w:color="7F7F7F" w:sz="4"/>
          <w:left w:val="single" w:color="BFBFBF" w:sz="2"/>
          <w:bottom w:val="single" w:color="7F7F7F" w:sz="4"/>
          <w:right w:val="single" w:color="BFBFBF" w:sz="2"/>
          <w:insideH w:val="single" w:color="BFBFBF" w:sz="2"/>
          <w:insideV w:val="single" w:color="BFBFBF" w:sz="2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6%"/>
            <w:shd w:fill="EFEF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1"/>
                <w:szCs w:val="21"/>
              </w:rPr>
              <w:t xml:space="preserve">平台</w:t>
            </w:r>
          </w:p>
        </w:tc>
        <w:tc>
          <w:tcPr>
            <w:tcW w:type="pct" w:w="74%"/>
            <w:shd w:fill="EFEF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1"/>
                <w:szCs w:val="21"/>
              </w:rPr>
              <w:t xml:space="preserve">操作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Windows</w:t>
            </w:r>
          </w:p>
        </w:tc>
        <w:tc>
          <w:tcPr>
            <w:tcW w:type="pct" w:w="7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双击 uninstall_windows.bat（或运行 python uninstall.py）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Linux / macOS</w:t>
            </w:r>
          </w:p>
        </w:tc>
        <w:tc>
          <w:tcPr>
            <w:tcW w:type="pct" w:w="7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执行 bash uninstall.sh（或 python3 uninstall.py）</w:t>
            </w:r>
          </w:p>
        </w:tc>
      </w:tr>
    </w:tbl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常用参数：--dry-run 只列出将删内容；--keep-ollama 保留 Ollama 与模型；--keep-project 只清依赖不删项目目录。须用安装时的同一个 Python 环境运行卸载（conda/venv 用户先激活原环境）；外部安全工具不会被自动删除，需要时手动卸载。</w:t>
      </w:r>
    </w:p>
    <w:p>
      <w:pPr>
        <w:pStyle w:val="Heading1"/>
        <w:spacing w:after="200" w:before="360" w:line="380" w:lineRule="atLeast"/>
      </w:pPr>
      <w:bookmarkStart w:id="100055" w:name="_Toc100055"/>
      <w:r>
        <w:rPr>
          <w:rFonts w:ascii="Times New Roman" w:eastAsia="SimHei"/>
          <w:b/>
          <w:bCs/>
          <w:color w:val="000000"/>
          <w:sz w:val="32"/>
          <w:szCs w:val="32"/>
        </w:rPr>
        <w:t xml:space="preserve">附录</w:t>
      </w:r>
      <w:bookmarkEnd w:id="100055"/>
    </w:p>
    <w:p>
      <w:pPr>
        <w:pStyle w:val="Heading2"/>
        <w:spacing w:after="140" w:before="280" w:line="360" w:lineRule="atLeast"/>
      </w:pPr>
      <w:bookmarkStart w:id="100056" w:name="_Toc100056"/>
      <w:r>
        <w:rPr>
          <w:rFonts w:ascii="Times New Roman" w:eastAsia="SimHei"/>
          <w:b/>
          <w:bCs/>
          <w:color w:val="000000"/>
          <w:sz w:val="30"/>
          <w:szCs w:val="30"/>
        </w:rPr>
        <w:t xml:space="preserve">附录 A  命令行速查</w:t>
      </w:r>
      <w:bookmarkEnd w:id="100056"/>
    </w:p>
    <w:p>
      <w:pPr>
        <w:keepNext/>
        <w:spacing w:after="80" w:before="160" w:line="312"/>
        <w:jc w:val="center"/>
      </w:pPr>
      <w:r>
        <w:rPr>
          <w:rFonts w:ascii="Times New Roman" w:eastAsia="SimHei"/>
          <w:b/>
          <w:bCs/>
          <w:color w:val="000000"/>
          <w:sz w:val="21"/>
          <w:szCs w:val="21"/>
        </w:rPr>
        <w:t xml:space="preserve">表 A-1  命令行速查</w:t>
      </w:r>
    </w:p>
    <w:tbl>
      <w:tblPr>
        <w:tblW w:type="pct" w:w="100%"/>
        <w:tblBorders>
          <w:top w:val="single" w:color="7F7F7F" w:sz="4"/>
          <w:left w:val="single" w:color="BFBFBF" w:sz="2"/>
          <w:bottom w:val="single" w:color="7F7F7F" w:sz="4"/>
          <w:right w:val="single" w:color="BFBFBF" w:sz="2"/>
          <w:insideH w:val="single" w:color="BFBFBF" w:sz="2"/>
          <w:insideV w:val="single" w:color="BFBFBF" w:sz="2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6%"/>
            <w:shd w:fill="EFEF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1"/>
                <w:szCs w:val="21"/>
              </w:rPr>
              <w:t xml:space="preserve">命令</w:t>
            </w:r>
          </w:p>
        </w:tc>
        <w:tc>
          <w:tcPr>
            <w:tcW w:type="pct" w:w="44%"/>
            <w:shd w:fill="EFEF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1"/>
                <w:szCs w:val="21"/>
              </w:rPr>
              <w:t xml:space="preserve">作用</w:t>
            </w:r>
          </w:p>
        </w:tc>
        <w:tc>
          <w:tcPr>
            <w:tcW w:type="pct" w:w="30%"/>
            <w:shd w:fill="EFEF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1"/>
                <w:szCs w:val="21"/>
              </w:rPr>
              <w:t xml:space="preserve">常用参数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health</w:t>
            </w:r>
          </w:p>
        </w:tc>
        <w:tc>
          <w:tcPr>
            <w:tcW w:type="pct" w:w="4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健康检查（模型/服务/外部工具）</w:t>
            </w:r>
          </w:p>
        </w:tc>
        <w:tc>
          <w:tcPr>
            <w:tcW w:type="pct" w:w="3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scan &lt;文件&gt;</w:t>
            </w:r>
          </w:p>
        </w:tc>
        <w:tc>
          <w:tcPr>
            <w:tcW w:type="pct" w:w="4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扫描单个文件</w:t>
            </w:r>
          </w:p>
        </w:tc>
        <w:tc>
          <w:tcPr>
            <w:tcW w:type="pct" w:w="3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--format json；--model；--rag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batch &lt;目录&gt;</w:t>
            </w:r>
          </w:p>
        </w:tc>
        <w:tc>
          <w:tcPr>
            <w:tcW w:type="pct" w:w="4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批量扫描目录并导出报告</w:t>
            </w:r>
          </w:p>
        </w:tc>
        <w:tc>
          <w:tcPr>
            <w:tcW w:type="pct" w:w="3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--output；--limit；--no-recursive；--max-files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url &lt;网址&gt;</w:t>
            </w:r>
          </w:p>
        </w:tc>
        <w:tc>
          <w:tcPr>
            <w:tcW w:type="pct" w:w="4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扫描网页内脚本</w:t>
            </w:r>
          </w:p>
        </w:tc>
        <w:tc>
          <w:tcPr>
            <w:tcW w:type="pct" w:w="3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--format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github &lt;仓库&gt;</w:t>
            </w:r>
          </w:p>
        </w:tc>
        <w:tc>
          <w:tcPr>
            <w:tcW w:type="pct" w:w="44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浅克隆扫描 GitHub 仓库</w:t>
            </w:r>
          </w:p>
        </w:tc>
        <w:tc>
          <w:tcPr>
            <w:tcW w:type="pct" w:w="3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--max-files（默认 50 上限）</w:t>
            </w:r>
          </w:p>
        </w:tc>
      </w:tr>
    </w:tbl>
    <w:p>
      <w:pPr>
        <w:pStyle w:val="Heading2"/>
        <w:spacing w:after="140" w:before="280" w:line="360" w:lineRule="atLeast"/>
      </w:pPr>
      <w:bookmarkStart w:id="100057" w:name="_Toc100057"/>
      <w:r>
        <w:rPr>
          <w:rFonts w:ascii="Times New Roman" w:eastAsia="SimHei"/>
          <w:b/>
          <w:bCs/>
          <w:color w:val="000000"/>
          <w:sz w:val="30"/>
          <w:szCs w:val="30"/>
        </w:rPr>
        <w:t xml:space="preserve">附录 B  输入限制与支持范围</w:t>
      </w:r>
      <w:bookmarkEnd w:id="100057"/>
    </w:p>
    <w:p>
      <w:pPr>
        <w:keepNext/>
        <w:spacing w:after="80" w:before="160" w:line="312"/>
        <w:jc w:val="center"/>
      </w:pPr>
      <w:r>
        <w:rPr>
          <w:rFonts w:ascii="Times New Roman" w:eastAsia="SimHei"/>
          <w:b/>
          <w:bCs/>
          <w:color w:val="000000"/>
          <w:sz w:val="21"/>
          <w:szCs w:val="21"/>
        </w:rPr>
        <w:t xml:space="preserve">表 B-1  输入限制与支持范围</w:t>
      </w:r>
    </w:p>
    <w:tbl>
      <w:tblPr>
        <w:tblW w:type="pct" w:w="100%"/>
        <w:tblBorders>
          <w:top w:val="single" w:color="7F7F7F" w:sz="4"/>
          <w:left w:val="single" w:color="BFBFBF" w:sz="2"/>
          <w:bottom w:val="single" w:color="7F7F7F" w:sz="4"/>
          <w:right w:val="single" w:color="BFBFBF" w:sz="2"/>
          <w:insideH w:val="single" w:color="BFBFBF" w:sz="2"/>
          <w:insideV w:val="single" w:color="BFBFBF" w:sz="2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30%"/>
            <w:shd w:fill="EFEF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1"/>
                <w:szCs w:val="21"/>
              </w:rPr>
              <w:t xml:space="preserve">项目</w:t>
            </w:r>
          </w:p>
        </w:tc>
        <w:tc>
          <w:tcPr>
            <w:tcW w:type="pct" w:w="70%"/>
            <w:shd w:fill="EFEFE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center"/>
            </w:pPr>
            <w:r>
              <w:rPr>
                <w:rFonts w:ascii="Times New Roman" w:eastAsia="SimHei"/>
                <w:b/>
                <w:bCs/>
                <w:color w:val="000000"/>
                <w:sz w:val="21"/>
                <w:szCs w:val="21"/>
              </w:rPr>
              <w:t xml:space="preserve">限制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代码语言</w:t>
            </w:r>
          </w:p>
        </w:tc>
        <w:tc>
          <w:tcPr>
            <w:tcW w:type="pct" w:w="7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Python / JavaScript / TypeScript / Java / PHP / Go / HTML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文件类型</w:t>
            </w:r>
          </w:p>
        </w:tc>
        <w:tc>
          <w:tcPr>
            <w:tcW w:type="pct" w:w="7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.py .js .ts .jsx .tsx .java .php .go .html .htm .vue .svelte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单段代码</w:t>
            </w:r>
          </w:p>
        </w:tc>
        <w:tc>
          <w:tcPr>
            <w:tcW w:type="pct" w:w="7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最多 200 万字符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单文件</w:t>
            </w:r>
          </w:p>
        </w:tc>
        <w:tc>
          <w:tcPr>
            <w:tcW w:type="pct" w:w="7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最大 2MB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单次批量</w:t>
            </w:r>
          </w:p>
        </w:tc>
        <w:tc>
          <w:tcPr>
            <w:tcW w:type="pct" w:w="7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最多 200 个文件、总计 10MB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仓库扫描</w:t>
            </w:r>
          </w:p>
        </w:tc>
        <w:tc>
          <w:tcPr>
            <w:tcW w:type="pct" w:w="70%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76"/>
              <w:jc w:val="left"/>
            </w:pPr>
            <w:r>
              <w:rPr>
                <w:rFonts w:ascii="Times New Roman" w:eastAsia="SimSun"/>
                <w:b w:val="false"/>
                <w:bCs w:val="false"/>
                <w:color w:val="000000"/>
                <w:sz w:val="21"/>
                <w:szCs w:val="21"/>
              </w:rPr>
              <w:t xml:space="preserve">浅克隆 + 120 秒超时 + 文件数上限（默认 20，硬上限 50）</w:t>
            </w:r>
          </w:p>
        </w:tc>
      </w:tr>
    </w:tbl>
    <w:p>
      <w:pPr>
        <w:pStyle w:val="Heading2"/>
        <w:spacing w:after="140" w:before="280" w:line="360" w:lineRule="atLeast"/>
      </w:pPr>
      <w:bookmarkStart w:id="100058" w:name="_Toc100058"/>
      <w:r>
        <w:rPr>
          <w:rFonts w:ascii="Times New Roman" w:eastAsia="SimHei"/>
          <w:b/>
          <w:bCs/>
          <w:color w:val="000000"/>
          <w:sz w:val="30"/>
          <w:szCs w:val="30"/>
        </w:rPr>
        <w:t xml:space="preserve">附录 C  排查速查</w:t>
      </w:r>
      <w:bookmarkEnd w:id="100058"/>
    </w:p>
    <w:p>
      <w:pPr>
        <w:spacing w:after="6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常见现象与处理见 7.7 节表；补充三条：RAG 相关报错多为知识库未初始化或旧向量库需重建；模型下载中断后重启脚本自动断点续传；两档部署形态精度不同属正常现象，界面会显示当前形态。</w:t>
      </w:r>
    </w:p>
    <w:sectPr>
      <w:headerReference w:type="default" r:id="rId8"/>
      <w:footerReference w:type="default" r:id="rId9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SimSun"/>
        <w:color w:val="000000"/>
        <w:sz w:val="18"/>
        <w:szCs w:val="18"/>
      </w:rPr>
      <w:fldChar w:fldCharType="begin"/>
      <w:instrText xml:space="preserve"> PAGE \* ROMAN \* MERGEFORMAT 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SimSun"/>
        <w:color w:val="000000"/>
        <w:sz w:val="18"/>
        <w:szCs w:val="18"/>
      </w:rPr>
      <w:fldChar w:fldCharType="begin"/>
      <w:instrText xml:space="preserve"> PAGE \* arabic \* MERGEFORMAT 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08080" w:sz="4"/>
      </w:pBdr>
      <w:spacing w:after="60"/>
      <w:jc w:val="center"/>
    </w:pPr>
    <w:r>
      <w:rPr>
        <w:rFonts w:ascii="Times New Roman" w:eastAsia="SimSun"/>
        <w:color w:val="595959"/>
        <w:sz w:val="18"/>
        <w:szCs w:val="18"/>
      </w:rPr>
      <w:t xml:space="preserve">The 22nd Hunan Collegiate Programming Contest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360" w:line="380"/>
      <w:outlineLvl w:val="0"/>
    </w:pPr>
    <w:rPr>
      <w:rFonts w:ascii="Times New Roman" w:eastAsia="SimHei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 w:line="360"/>
      <w:outlineLvl w:val="1"/>
    </w:pPr>
    <w:rPr>
      <w:rFonts w:ascii="Times New Roman" w:eastAsia="SimHei"/>
      <w:b/>
      <w:bCs/>
      <w:color w:val="000000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00" w:before="220" w:line="340"/>
      <w:outlineLvl w:val="2"/>
    </w:pPr>
    <w:rPr>
      <w:rFonts w:ascii="Times New Roman" w:eastAsia="SimHei"/>
      <w:b/>
      <w:bCs/>
      <w:color w:val="000000"/>
      <w:sz w:val="28"/>
      <w:szCs w:val="28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header" Target="header1.xml"/><Relationship Id="rId9" Type="http://schemas.openxmlformats.org/officeDocument/2006/relationships/footer" Target="footer2.xml"/><Relationship Id="rId10" Type="http://schemas.openxmlformats.org/officeDocument/2006/relationships/image" Target="media/a5649f0851e8034082bd8ace130b4beae5a7e327.png"/><Relationship Id="rId11" Type="http://schemas.openxmlformats.org/officeDocument/2006/relationships/image" Target="media/726ac7150ff090bd9cee99165002b462785b19c3.png"/><Relationship Id="rId12" Type="http://schemas.openxmlformats.org/officeDocument/2006/relationships/image" Target="media/a519432f809b6eef1041192fd65ef166879a5fd1.png"/><Relationship Id="rId13" Type="http://schemas.openxmlformats.org/officeDocument/2006/relationships/image" Target="media/b436dd49a339424e2fea6116259e818900af14d2.png"/><Relationship Id="rId14" Type="http://schemas.openxmlformats.org/officeDocument/2006/relationships/image" Target="media/25c03c554654b157ed2e5e04c9e8e91318413641.png"/><Relationship Id="rId15" Type="http://schemas.openxmlformats.org/officeDocument/2006/relationships/image" Target="media/360c9a7a7d40f9401a9c2913482e0d6f469f37e8.png"/><Relationship Id="rId16" Type="http://schemas.openxmlformats.org/officeDocument/2006/relationships/image" Target="media/01fab71543dac657e83cdabbabfc887857b2be6d.png"/><Relationship Id="rId17" Type="http://schemas.openxmlformats.org/officeDocument/2006/relationships/image" Target="media/64a951e31e717d86e0f65ef7ae46731ae68f81d8.png"/><Relationship Id="rId18" Type="http://schemas.openxmlformats.org/officeDocument/2006/relationships/image" Target="media/962a270e6024de28a71452ddabc4661474c8d776.png"/><Relationship Id="rId19" Type="http://schemas.openxmlformats.org/officeDocument/2006/relationships/image" Target="media/6caba9b5392c9805e90bee1285aadd7824226b57.png"/><Relationship Id="rId20" Type="http://schemas.openxmlformats.org/officeDocument/2006/relationships/image" Target="media/54d7ef6133e2e399d352f2a9ed5fe3c8b52f96a7.png"/><Relationship Id="rId21" Type="http://schemas.openxmlformats.org/officeDocument/2006/relationships/image" Target="media/ca70164f8951948e133d3269b3e2ee07f136f583.png"/><Relationship Id="rId2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码安管家——LLM驱动的漏洞分析站 系统设计说明书</dc:title>
  <dc:creator>ZaoZao</dc:creator>
  <cp:lastModifiedBy>Un-named</cp:lastModifiedBy>
  <cp:revision>1</cp:revision>
  <dcterms:created xsi:type="dcterms:W3CDTF">2026-09-21T04:17:44.590Z</dcterms:created>
  <dcterms:modified xsi:type="dcterms:W3CDTF">2026-09-21T04:17:44.591Z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