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B365D"/>
          <w:sz w:val="48"/>
        </w:rPr>
        <w:t>MadrasaHub School Onboarding &amp;</w:t>
        <w:br/>
        <w:t>Role Customization Guide</w:t>
      </w:r>
    </w:p>
    <w:p>
      <w:pPr>
        <w:spacing w:before="40" w:after="360"/>
      </w:pPr>
      <w:r>
        <w:rPr>
          <w:rFonts w:ascii="Calibri" w:hAnsi="Calibri"/>
          <w:i/>
          <w:color w:val="0F766E"/>
          <w:sz w:val="24"/>
        </w:rPr>
        <w:t>A Complete Operational Manual for Platform Admins and Self-Governing School Leaders</w:t>
      </w:r>
    </w:p>
    <w:p>
      <w:pPr>
        <w:spacing w:after="280"/>
      </w:pPr>
      <w:r>
        <w:rPr>
          <w:color w:val="CBD5E1"/>
        </w:rPr>
        <w:t>――――――――――――――――――――――――――――――――――――――――――――――――</w:t>
      </w:r>
    </w:p>
    <w:p>
      <w:pPr>
        <w:pStyle w:val="Heading1"/>
        <w:spacing w:before="280" w:after="120"/>
      </w:pPr>
      <w:r>
        <w:t>1. Executive Overview &amp; Design Philosophy</w:t>
      </w:r>
    </w:p>
    <w:p>
      <w:pPr>
        <w:spacing w:after="160"/>
      </w:pPr>
      <w:r>
        <w:t>MadrasaHub operates on a single core principle: The Platform Admin creates the school organization and hands over the primary Super Admin login. From that exact moment, the school is 100% self-governing and builds its own organizational empire.</w:t>
      </w:r>
    </w:p>
    <w:p>
      <w:pPr>
        <w:spacing w:after="240"/>
      </w:pPr>
      <w:r>
        <w:t>Schools come in all sizes. A large institution may employ dedicated staff for finance, human resources, admissions, and cashier booths. A growing community school may have a single Business Administrator handling billing, admissions, and fee collection at one desk, while the Principal directly runs payroll. MadrasaHub accommodates all of these structures natively without requiring custom code or developer intervention.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150" w:type="dxa"/>
            </w:tcMar>
            <w:tcBorders>
              <w:top w:val="none"/>
              <w:left w:val="single" w:sz="24" w:space="0" w:color="0F766E"/>
              <w:bottom w:val="none"/>
              <w:right w:val="none"/>
            </w:tcBorders>
          </w:tcPr>
          <w:p>
            <w:pPr>
              <w:spacing w:before="40" w:after="80"/>
            </w:pPr>
            <w:r>
              <w:rPr>
                <w:rFonts w:ascii="Arial" w:hAnsi="Arial"/>
                <w:b/>
                <w:color w:val="0F766E"/>
                <w:sz w:val="21"/>
              </w:rPr>
              <w:t>★ CORE ARCHITECTURE PRINCIPLE</w:t>
              <w:br/>
            </w:r>
          </w:p>
          <w:p>
            <w:pPr>
              <w:spacing w:before="40" w:after="60"/>
            </w:pPr>
            <w:r>
              <w:rPr>
                <w:rFonts w:ascii="Calibri" w:hAnsi="Calibri"/>
                <w:color w:val="334155"/>
                <w:sz w:val="20"/>
              </w:rPr>
              <w:t>Zero code changes required: Schools rename roles, turn off unneeded roles, and reassign any of the 131 school-level features directly through the web UI.</w:t>
            </w:r>
          </w:p>
          <w:p>
            <w:pPr>
              <w:spacing w:before="40" w:after="60"/>
            </w:pPr>
            <w:r>
              <w:rPr>
                <w:rFonts w:ascii="Calibri" w:hAnsi="Calibri"/>
                <w:color w:val="334155"/>
                <w:sz w:val="20"/>
              </w:rPr>
              <w:t>Dynamic menus: The sidebar adapts automatically so staff members see exactly the tools they have permission to use.</w:t>
            </w:r>
          </w:p>
        </w:tc>
      </w:tr>
    </w:tbl>
    <w:p>
      <w:pPr>
        <w:spacing w:after="120"/>
      </w:pPr>
    </w:p>
    <w:p>
      <w:pPr>
        <w:pStyle w:val="Heading1"/>
        <w:spacing w:before="280" w:after="120"/>
      </w:pPr>
      <w:r>
        <w:t>2. The Platform Admin's Role (Zero-Touch Setup)</w:t>
      </w:r>
    </w:p>
    <w:p>
      <w:pPr>
        <w:spacing w:after="120"/>
      </w:pPr>
      <w:r>
        <w:t>As the SaaS platform owner, your interaction with an individual school is clean, secure, and fast:</w:t>
      </w:r>
    </w:p>
    <w:p>
      <w:pPr>
        <w:spacing w:after="80"/>
        <w:ind w:left="288"/>
      </w:pPr>
      <w:r>
        <w:rPr>
          <w:rFonts w:ascii="Calibri" w:hAnsi="Calibri"/>
          <w:b/>
          <w:color w:val="1B365D"/>
          <w:sz w:val="21"/>
        </w:rPr>
        <w:t xml:space="preserve">• Step 1: Create the School Tenant: </w:t>
      </w:r>
      <w:r>
        <w:rPr>
          <w:rFonts w:ascii="Calibri" w:hAnsi="Calibri"/>
          <w:color w:val="334155"/>
          <w:sz w:val="21"/>
        </w:rPr>
        <w:t>Open the Platform Admin portal, enter the school name, custom URL slug, contact details, and subscription plan tier.</w:t>
      </w:r>
    </w:p>
    <w:p>
      <w:pPr>
        <w:spacing w:after="80"/>
        <w:ind w:left="288"/>
      </w:pPr>
      <w:r>
        <w:rPr>
          <w:rFonts w:ascii="Calibri" w:hAnsi="Calibri"/>
          <w:b/>
          <w:color w:val="1B365D"/>
          <w:sz w:val="21"/>
        </w:rPr>
        <w:t xml:space="preserve">• Step 2: Generate the Super Admin Account: </w:t>
      </w:r>
      <w:r>
        <w:rPr>
          <w:rFonts w:ascii="Calibri" w:hAnsi="Calibri"/>
          <w:color w:val="334155"/>
          <w:sz w:val="21"/>
        </w:rPr>
        <w:t>Create the initial user with the role 'super_admin' and set a secure initial password.</w:t>
      </w:r>
    </w:p>
    <w:p>
      <w:pPr>
        <w:spacing w:after="80"/>
        <w:ind w:left="288"/>
      </w:pPr>
      <w:r>
        <w:rPr>
          <w:rFonts w:ascii="Calibri" w:hAnsi="Calibri"/>
          <w:b/>
          <w:color w:val="1B365D"/>
          <w:sz w:val="21"/>
        </w:rPr>
        <w:t xml:space="preserve">• Step 3: Hand Over the Credentials: </w:t>
      </w:r>
      <w:r>
        <w:rPr>
          <w:rFonts w:ascii="Calibri" w:hAnsi="Calibri"/>
          <w:color w:val="334155"/>
          <w:sz w:val="21"/>
        </w:rPr>
        <w:t>Deliver the login URL and credentials to the school principal or board. Your job is complete.</w:t>
      </w:r>
    </w:p>
    <w:p>
      <w:pPr>
        <w:pStyle w:val="Heading1"/>
        <w:spacing w:before="280" w:after="120"/>
      </w:pPr>
      <w:r>
        <w:t>3. What the School Super Admin Can Customize</w:t>
      </w:r>
    </w:p>
    <w:p>
      <w:pPr>
        <w:spacing w:after="80"/>
        <w:ind w:left="288"/>
      </w:pPr>
      <w:r>
        <w:rPr>
          <w:rFonts w:ascii="Calibri" w:hAnsi="Calibri"/>
          <w:b/>
          <w:color w:val="0F766E"/>
          <w:sz w:val="21"/>
        </w:rPr>
        <w:t xml:space="preserve">✔ Rename Any Role: </w:t>
      </w:r>
      <w:r>
        <w:rPr>
          <w:rFonts w:ascii="Calibri" w:hAnsi="Calibri"/>
          <w:color w:val="334155"/>
          <w:sz w:val="21"/>
        </w:rPr>
        <w:t>Change standard keys to institutional titles (e.g., rename 'Finance Director' to 'Chief Financial Officer' or 'School Business Administrator').</w:t>
      </w:r>
    </w:p>
    <w:p>
      <w:pPr>
        <w:spacing w:after="80"/>
        <w:ind w:left="288"/>
      </w:pPr>
      <w:r>
        <w:rPr>
          <w:rFonts w:ascii="Calibri" w:hAnsi="Calibri"/>
          <w:b/>
          <w:color w:val="0F766E"/>
          <w:sz w:val="21"/>
        </w:rPr>
        <w:t xml:space="preserve">✔ Turn Roles ON or OFF: </w:t>
      </w:r>
      <w:r>
        <w:rPr>
          <w:rFonts w:ascii="Calibri" w:hAnsi="Calibri"/>
          <w:color w:val="334155"/>
          <w:sz w:val="21"/>
        </w:rPr>
        <w:t>Toggle unused roles (such as Cashier or HR Manager) to Inactive. Inactive roles cannot be selected when creating new users.</w:t>
      </w:r>
    </w:p>
    <w:p>
      <w:pPr>
        <w:spacing w:after="80"/>
        <w:ind w:left="288"/>
      </w:pPr>
      <w:r>
        <w:rPr>
          <w:rFonts w:ascii="Calibri" w:hAnsi="Calibri"/>
          <w:b/>
          <w:color w:val="0F766E"/>
          <w:sz w:val="21"/>
        </w:rPr>
        <w:t xml:space="preserve">✔ Redistribute Any Feature: </w:t>
      </w:r>
      <w:r>
        <w:rPr>
          <w:rFonts w:ascii="Calibri" w:hAnsi="Calibri"/>
          <w:color w:val="334155"/>
          <w:sz w:val="21"/>
        </w:rPr>
        <w:t>Move any of the 131 school-level features to any active role with simple checkbox toggles in the Roles &amp; Features matrix.</w:t>
      </w:r>
    </w:p>
    <w:p>
      <w:pPr>
        <w:spacing w:after="80"/>
        <w:ind w:left="288"/>
      </w:pPr>
      <w:r>
        <w:rPr>
          <w:rFonts w:ascii="Calibri" w:hAnsi="Calibri"/>
          <w:b/>
          <w:color w:val="0F766E"/>
          <w:sz w:val="21"/>
        </w:rPr>
        <w:t xml:space="preserve">✔ Dynamic Staff Menus: </w:t>
      </w:r>
      <w:r>
        <w:rPr>
          <w:rFonts w:ascii="Calibri" w:hAnsi="Calibri"/>
          <w:color w:val="334155"/>
          <w:sz w:val="21"/>
        </w:rPr>
        <w:t>Staff menus adapt in real time. If a user receives admissions permissions, the Admissions menu automatically appears in their navigation bar.</w:t>
      </w:r>
    </w:p>
    <w:p>
      <w:pPr>
        <w:spacing w:after="80"/>
        <w:ind w:left="288"/>
      </w:pPr>
      <w:r>
        <w:rPr>
          <w:rFonts w:ascii="Calibri" w:hAnsi="Calibri"/>
          <w:b/>
          <w:color w:val="0F766E"/>
          <w:sz w:val="21"/>
        </w:rPr>
        <w:t xml:space="preserve">✔ User Exceptions: </w:t>
      </w:r>
      <w:r>
        <w:rPr>
          <w:rFonts w:ascii="Calibri" w:hAnsi="Calibri"/>
          <w:color w:val="334155"/>
          <w:sz w:val="21"/>
        </w:rPr>
        <w:t>Grant special feature overrides or restrictions to an individual staff member without creating a whole new role.</w:t>
      </w:r>
    </w:p>
    <w:p>
      <w:pPr>
        <w:pStyle w:val="Heading1"/>
        <w:spacing w:before="280" w:after="120"/>
      </w:pPr>
      <w:r>
        <w:t>4. Common Operational Questions &amp; Answers</w:t>
      </w:r>
    </w:p>
    <w:p>
      <w:pPr>
        <w:spacing w:before="120" w:after="40"/>
      </w:pPr>
      <w:r>
        <w:rPr>
          <w:rFonts w:ascii="Calibri" w:hAnsi="Calibri"/>
          <w:b/>
          <w:color w:val="1B365D"/>
          <w:sz w:val="22"/>
        </w:rPr>
        <w:t>Q: Can a school give Registrar tasks to the Finance Director?</w:t>
      </w:r>
    </w:p>
    <w:p>
      <w:pPr>
        <w:spacing w:after="120"/>
        <w:ind w:left="288"/>
      </w:pPr>
      <w:r>
        <w:rPr>
          <w:rFonts w:ascii="Calibri" w:hAnsi="Calibri"/>
          <w:color w:val="334155"/>
          <w:sz w:val="21"/>
        </w:rPr>
        <w:t>A: Yes. In Settings → Roles &amp; Features, tick the Registrar features (e.g., Student Admissions, Student Directory, Class Enrollment) on the Finance role. The Finance Director's sidebar immediately shows both Finance and Registrar menus.</w:t>
      </w:r>
    </w:p>
    <w:p>
      <w:pPr>
        <w:spacing w:before="120" w:after="40"/>
      </w:pPr>
      <w:r>
        <w:rPr>
          <w:rFonts w:ascii="Calibri" w:hAnsi="Calibri"/>
          <w:b/>
          <w:color w:val="1B365D"/>
          <w:sz w:val="22"/>
        </w:rPr>
        <w:t>Q: Can the school give HR and Payroll duties to the Super Admin?</w:t>
      </w:r>
    </w:p>
    <w:p>
      <w:pPr>
        <w:spacing w:after="120"/>
        <w:ind w:left="288"/>
      </w:pPr>
      <w:r>
        <w:rPr>
          <w:rFonts w:ascii="Calibri" w:hAnsi="Calibri"/>
          <w:color w:val="334155"/>
          <w:sz w:val="21"/>
        </w:rPr>
        <w:t>A: Yes. The Super Admin simply ticks the HR and Payroll features on the Super Admin role. The HR Directory and Payroll Dashboard immediately appear in their management menu.</w:t>
      </w:r>
    </w:p>
    <w:p>
      <w:pPr>
        <w:spacing w:before="120" w:after="40"/>
      </w:pPr>
      <w:r>
        <w:rPr>
          <w:rFonts w:ascii="Calibri" w:hAnsi="Calibri"/>
          <w:b/>
          <w:color w:val="1B365D"/>
          <w:sz w:val="22"/>
        </w:rPr>
        <w:t>Q: How does the system work without a dedicated Cashier?</w:t>
      </w:r>
    </w:p>
    <w:p>
      <w:pPr>
        <w:spacing w:after="120"/>
        <w:ind w:left="288"/>
      </w:pPr>
      <w:r>
        <w:rPr>
          <w:rFonts w:ascii="Calibri" w:hAnsi="Calibri"/>
          <w:color w:val="334155"/>
          <w:sz w:val="21"/>
        </w:rPr>
        <w:t>A: The Super Admin turns the Cashier role OFF (inactive) and gives the Payment Collection feature to the Finance Director or front desk. Payments are collected directly at the Payment Desk without needing a dedicated cashier staff seat.</w:t>
      </w:r>
    </w:p>
    <w:p>
      <w:pPr>
        <w:spacing w:before="120" w:after="40"/>
      </w:pPr>
      <w:r>
        <w:rPr>
          <w:rFonts w:ascii="Calibri" w:hAnsi="Calibri"/>
          <w:b/>
          <w:color w:val="1B365D"/>
          <w:sz w:val="22"/>
        </w:rPr>
        <w:t>Q: How does the Super Admin see which features are unassigned ('free')?</w:t>
      </w:r>
    </w:p>
    <w:p>
      <w:pPr>
        <w:spacing w:after="120"/>
        <w:ind w:left="288"/>
      </w:pPr>
      <w:r>
        <w:rPr>
          <w:rFonts w:ascii="Calibri" w:hAnsi="Calibri"/>
          <w:color w:val="334155"/>
          <w:sz w:val="21"/>
        </w:rPr>
        <w:t>A: In the Roles &amp; Features matrix (/tenant/roles), all 131 features are listed with checkboxes for each role. If a feature has zero checkboxes ticked across all active roles, it is unassigned and immediately visible.</w:t>
      </w:r>
    </w:p>
    <w:p>
      <w:pPr>
        <w:pStyle w:val="Heading1"/>
        <w:spacing w:before="280" w:after="120"/>
      </w:pPr>
      <w:r>
        <w:t>5. Disabling Staff &amp; Safe Role Reassignment</w:t>
      </w:r>
    </w:p>
    <w:p>
      <w:pPr>
        <w:spacing w:after="120"/>
      </w:pPr>
      <w:r>
        <w:t>When an employee leaves the school or takes extended leave, their responsibilities can be transferred seamlessly:</w:t>
      </w:r>
    </w:p>
    <w:p>
      <w:pPr>
        <w:spacing w:after="80"/>
        <w:ind w:left="288"/>
      </w:pPr>
      <w:r>
        <w:rPr>
          <w:rFonts w:ascii="Calibri" w:hAnsi="Calibri"/>
          <w:b/>
          <w:color w:val="1B365D"/>
          <w:sz w:val="21"/>
        </w:rPr>
        <w:t xml:space="preserve">• Instant Account Deactivation: </w:t>
      </w:r>
      <w:r>
        <w:rPr>
          <w:rFonts w:ascii="Calibri" w:hAnsi="Calibri"/>
          <w:color w:val="334155"/>
          <w:sz w:val="21"/>
        </w:rPr>
        <w:t>In Staff → Users, setting an employee's status to Inactive immediately terminates their active sessions and blocks future logins.</w:t>
      </w:r>
    </w:p>
    <w:p>
      <w:pPr>
        <w:spacing w:after="80"/>
        <w:ind w:left="288"/>
      </w:pPr>
      <w:r>
        <w:rPr>
          <w:rFonts w:ascii="Calibri" w:hAnsi="Calibri"/>
          <w:b/>
          <w:color w:val="1B365D"/>
          <w:sz w:val="21"/>
        </w:rPr>
        <w:t xml:space="preserve">• Seamless Role Handover: </w:t>
      </w:r>
      <w:r>
        <w:rPr>
          <w:rFonts w:ascii="Calibri" w:hAnsi="Calibri"/>
          <w:color w:val="334155"/>
          <w:sz w:val="21"/>
        </w:rPr>
        <w:t>Because features belong to the Role rather than individual email addresses, assigning that role to a successor immediately equips them with all required menus and tools.</w:t>
      </w:r>
    </w:p>
    <w:p>
      <w:pPr>
        <w:spacing w:after="80"/>
        <w:ind w:left="288"/>
      </w:pPr>
      <w:r>
        <w:rPr>
          <w:rFonts w:ascii="Calibri" w:hAnsi="Calibri"/>
          <w:b/>
          <w:color w:val="1B365D"/>
          <w:sz w:val="21"/>
        </w:rPr>
        <w:t xml:space="preserve">• Accidental Lock-out Prevention: </w:t>
      </w:r>
      <w:r>
        <w:rPr>
          <w:rFonts w:ascii="Calibri" w:hAnsi="Calibri"/>
          <w:color w:val="334155"/>
          <w:sz w:val="21"/>
        </w:rPr>
        <w:t>MadrasaHub prevents removing role-management permissions from the last remaining active role that possesses it. School admins can never lock themselves out.</w:t>
      </w:r>
    </w:p>
    <w:p>
      <w:pPr>
        <w:spacing w:after="80"/>
        <w:ind w:left="288"/>
      </w:pPr>
      <w:r>
        <w:rPr>
          <w:rFonts w:ascii="Calibri" w:hAnsi="Calibri"/>
          <w:b/>
          <w:color w:val="1B365D"/>
          <w:sz w:val="21"/>
        </w:rPr>
        <w:t xml:space="preserve">• Active Role Protection: </w:t>
      </w:r>
      <w:r>
        <w:rPr>
          <w:rFonts w:ascii="Calibri" w:hAnsi="Calibri"/>
          <w:color w:val="334155"/>
          <w:sz w:val="21"/>
        </w:rPr>
        <w:t>A school cannot switch off a role while active users are currently assigned to it, ensuring no staff member is left in an undefined state.</w:t>
      </w:r>
    </w:p>
    <w:p>
      <w:pPr>
        <w:pStyle w:val="Heading1"/>
        <w:spacing w:before="280" w:after="120"/>
      </w:pPr>
      <w:r>
        <w:t>6. Comprehensive Operational Scenario: 'Al-Hikmah Academy'</w:t>
      </w:r>
    </w:p>
    <w:p>
      <w:pPr>
        <w:spacing w:after="120"/>
      </w:pPr>
      <w:r>
        <w:t>Al-Hikmah Academy is a growing school that operates with a highly efficient, compact administrative 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Pr>
          <w:p>
            <w:r>
              <w:rPr>
                <w:rFonts w:ascii="Arial" w:hAnsi="Arial"/>
                <w:b/>
                <w:color w:val="FFFFFF"/>
                <w:sz w:val="20"/>
              </w:rPr>
              <w:t>Staff Role</w:t>
            </w:r>
          </w:p>
        </w:tc>
        <w:tc>
          <w:tcPr>
            <w:tcW w:type="dxa" w:w="3744"/>
            <w:shd w:fill="1B365D"/>
            <w:tcMar>
              <w:top w:w="120" w:type="dxa"/>
              <w:bottom w:w="120" w:type="dxa"/>
              <w:left w:w="120" w:type="dxa"/>
              <w:right w:w="120" w:type="dxa"/>
            </w:tcMar>
          </w:tcPr>
          <w:p>
            <w:r>
              <w:rPr>
                <w:rFonts w:ascii="Arial" w:hAnsi="Arial"/>
                <w:b/>
                <w:color w:val="FFFFFF"/>
                <w:sz w:val="20"/>
              </w:rPr>
              <w:t>Assigned Responsibilities &amp; Features</w:t>
            </w:r>
          </w:p>
        </w:tc>
        <w:tc>
          <w:tcPr>
            <w:tcW w:type="dxa" w:w="3024"/>
            <w:shd w:fill="1B365D"/>
            <w:tcMar>
              <w:top w:w="120" w:type="dxa"/>
              <w:bottom w:w="120" w:type="dxa"/>
              <w:left w:w="120" w:type="dxa"/>
              <w:right w:w="120" w:type="dxa"/>
            </w:tcMar>
          </w:tcPr>
          <w:p>
            <w:r>
              <w:rPr>
                <w:rFonts w:ascii="Arial" w:hAnsi="Arial"/>
                <w:b/>
                <w:color w:val="FFFFFF"/>
                <w:sz w:val="20"/>
              </w:rPr>
              <w:t>Custom Sidebar Navigation</w:t>
            </w:r>
          </w:p>
        </w:tc>
      </w:tr>
      <w:tr>
        <w:tc>
          <w:tcPr>
            <w:tcW w:type="dxa" w:w="2592"/>
            <w:shd w:fill="F8FAFC"/>
            <w:tcMar>
              <w:top w:w="80" w:type="dxa"/>
              <w:bottom w:w="80" w:type="dxa"/>
              <w:left w:w="100" w:type="dxa"/>
              <w:right w:w="100" w:type="dxa"/>
            </w:tcMar>
          </w:tcPr>
          <w:p>
            <w:r>
              <w:rPr>
                <w:rFonts w:ascii="Calibri" w:hAnsi="Calibri"/>
                <w:color w:val="334155"/>
                <w:sz w:val="19"/>
              </w:rPr>
              <w:t>Super Admin</w:t>
              <w:br/>
              <w:t>(Sheikh Omar)</w:t>
            </w:r>
          </w:p>
        </w:tc>
        <w:tc>
          <w:tcPr>
            <w:tcW w:type="dxa" w:w="3744"/>
            <w:shd w:fill="F8FAFC"/>
            <w:tcMar>
              <w:top w:w="80" w:type="dxa"/>
              <w:bottom w:w="80" w:type="dxa"/>
              <w:left w:w="100" w:type="dxa"/>
              <w:right w:w="100" w:type="dxa"/>
            </w:tcMar>
          </w:tcPr>
          <w:p>
            <w:r>
              <w:rPr>
                <w:rFonts w:ascii="Calibri" w:hAnsi="Calibri"/>
                <w:color w:val="334155"/>
                <w:sz w:val="19"/>
              </w:rPr>
              <w:t>• School Settings &amp; Roles</w:t>
              <w:br/>
              <w:t>• Academic Years &amp; Branches</w:t>
              <w:br/>
              <w:t>• HR Employee Directory</w:t>
              <w:br/>
              <w:t>• Payroll Review &amp; Approval</w:t>
              <w:br/>
              <w:t>• Attendance Oversight</w:t>
            </w:r>
          </w:p>
        </w:tc>
        <w:tc>
          <w:tcPr>
            <w:tcW w:type="dxa" w:w="3024"/>
            <w:shd w:fill="F8FAFC"/>
            <w:tcMar>
              <w:top w:w="80" w:type="dxa"/>
              <w:bottom w:w="80" w:type="dxa"/>
              <w:left w:w="100" w:type="dxa"/>
              <w:right w:w="100" w:type="dxa"/>
            </w:tcMar>
          </w:tcPr>
          <w:p>
            <w:r>
              <w:rPr>
                <w:rFonts w:ascii="Calibri" w:hAnsi="Calibri"/>
                <w:color w:val="334155"/>
                <w:sz w:val="19"/>
              </w:rPr>
              <w:t>• School Dashboard</w:t>
              <w:br/>
              <w:t>• School Settings</w:t>
              <w:br/>
              <w:t>• Staff &amp; HR</w:t>
              <w:br/>
              <w:t>• Monthly Payroll</w:t>
              <w:br/>
              <w:t>• Academic Oversight</w:t>
            </w:r>
          </w:p>
        </w:tc>
      </w:tr>
      <w:tr>
        <w:tc>
          <w:tcPr>
            <w:tcW w:type="dxa" w:w="2592"/>
            <w:shd w:fill="FFFFFF"/>
            <w:tcMar>
              <w:top w:w="80" w:type="dxa"/>
              <w:bottom w:w="80" w:type="dxa"/>
              <w:left w:w="100" w:type="dxa"/>
              <w:right w:w="100" w:type="dxa"/>
            </w:tcMar>
          </w:tcPr>
          <w:p>
            <w:r>
              <w:rPr>
                <w:rFonts w:ascii="Calibri" w:hAnsi="Calibri"/>
                <w:color w:val="334155"/>
                <w:sz w:val="19"/>
              </w:rPr>
              <w:t>School Business Admin</w:t>
              <w:br/>
              <w:t>(Sister Maryam)</w:t>
            </w:r>
          </w:p>
        </w:tc>
        <w:tc>
          <w:tcPr>
            <w:tcW w:type="dxa" w:w="3744"/>
            <w:shd w:fill="FFFFFF"/>
            <w:tcMar>
              <w:top w:w="80" w:type="dxa"/>
              <w:bottom w:w="80" w:type="dxa"/>
              <w:left w:w="100" w:type="dxa"/>
              <w:right w:w="100" w:type="dxa"/>
            </w:tcMar>
          </w:tcPr>
          <w:p>
            <w:r>
              <w:rPr>
                <w:rFonts w:ascii="Calibri" w:hAnsi="Calibri"/>
                <w:color w:val="334155"/>
                <w:sz w:val="19"/>
              </w:rPr>
              <w:t>• Fee Structures &amp; Policy</w:t>
              <w:br/>
              <w:t>• Monthly Invoice Generation</w:t>
              <w:br/>
              <w:t>• Monthly Collection Sheet</w:t>
              <w:br/>
              <w:t>• Student Admissions &amp; Directory</w:t>
              <w:br/>
              <w:t>• Class Enrollments &amp; Transfers</w:t>
              <w:br/>
              <w:t>• Collect Payments (Oldest-First)</w:t>
              <w:br/>
              <w:t>• Receipts &amp; Reversals</w:t>
            </w:r>
          </w:p>
        </w:tc>
        <w:tc>
          <w:tcPr>
            <w:tcW w:type="dxa" w:w="3024"/>
            <w:shd w:fill="FFFFFF"/>
            <w:tcMar>
              <w:top w:w="80" w:type="dxa"/>
              <w:bottom w:w="80" w:type="dxa"/>
              <w:left w:w="100" w:type="dxa"/>
              <w:right w:w="100" w:type="dxa"/>
            </w:tcMar>
          </w:tcPr>
          <w:p>
            <w:r>
              <w:rPr>
                <w:rFonts w:ascii="Calibri" w:hAnsi="Calibri"/>
                <w:color w:val="334155"/>
                <w:sz w:val="19"/>
              </w:rPr>
              <w:t>• Admin Dashboard</w:t>
              <w:br/>
              <w:t>• Student Admissions</w:t>
              <w:br/>
              <w:t>• Student Directory</w:t>
              <w:br/>
              <w:t>• Invoices &amp; Fees</w:t>
              <w:br/>
              <w:t>• Monthly Collection</w:t>
              <w:br/>
              <w:t>• Payments Desk</w:t>
            </w:r>
          </w:p>
        </w:tc>
      </w:tr>
      <w:tr>
        <w:tc>
          <w:tcPr>
            <w:tcW w:type="dxa" w:w="2592"/>
            <w:shd w:fill="F8FAFC"/>
            <w:tcMar>
              <w:top w:w="80" w:type="dxa"/>
              <w:bottom w:w="80" w:type="dxa"/>
              <w:left w:w="100" w:type="dxa"/>
              <w:right w:w="100" w:type="dxa"/>
            </w:tcMar>
          </w:tcPr>
          <w:p>
            <w:r>
              <w:rPr>
                <w:rFonts w:ascii="Calibri" w:hAnsi="Calibri"/>
                <w:color w:val="334155"/>
                <w:sz w:val="19"/>
              </w:rPr>
              <w:t>Cashier</w:t>
            </w:r>
          </w:p>
        </w:tc>
        <w:tc>
          <w:tcPr>
            <w:tcW w:type="dxa" w:w="3744"/>
            <w:shd w:fill="F8FAFC"/>
            <w:tcMar>
              <w:top w:w="80" w:type="dxa"/>
              <w:bottom w:w="80" w:type="dxa"/>
              <w:left w:w="100" w:type="dxa"/>
              <w:right w:w="100" w:type="dxa"/>
            </w:tcMar>
          </w:tcPr>
          <w:p>
            <w:r>
              <w:rPr>
                <w:rFonts w:ascii="Calibri" w:hAnsi="Calibri"/>
                <w:color w:val="334155"/>
                <w:sz w:val="19"/>
              </w:rPr>
              <w:t>Role Disabled (isActive = false)</w:t>
            </w:r>
          </w:p>
        </w:tc>
        <w:tc>
          <w:tcPr>
            <w:tcW w:type="dxa" w:w="3024"/>
            <w:shd w:fill="F8FAFC"/>
            <w:tcMar>
              <w:top w:w="80" w:type="dxa"/>
              <w:bottom w:w="80" w:type="dxa"/>
              <w:left w:w="100" w:type="dxa"/>
              <w:right w:w="100" w:type="dxa"/>
            </w:tcMar>
          </w:tcPr>
          <w:p>
            <w:r>
              <w:rPr>
                <w:rFonts w:ascii="Calibri" w:hAnsi="Calibri"/>
                <w:color w:val="334155"/>
                <w:sz w:val="19"/>
              </w:rPr>
              <w:t>Hidden (No users assigned)</w:t>
            </w:r>
          </w:p>
        </w:tc>
      </w:tr>
      <w:tr>
        <w:tc>
          <w:tcPr>
            <w:tcW w:type="dxa" w:w="2592"/>
            <w:shd w:fill="FFFFFF"/>
            <w:tcMar>
              <w:top w:w="80" w:type="dxa"/>
              <w:bottom w:w="80" w:type="dxa"/>
              <w:left w:w="100" w:type="dxa"/>
              <w:right w:w="100" w:type="dxa"/>
            </w:tcMar>
          </w:tcPr>
          <w:p>
            <w:r>
              <w:rPr>
                <w:rFonts w:ascii="Calibri" w:hAnsi="Calibri"/>
                <w:color w:val="334155"/>
                <w:sz w:val="19"/>
              </w:rPr>
              <w:t>HR Manager</w:t>
            </w:r>
          </w:p>
        </w:tc>
        <w:tc>
          <w:tcPr>
            <w:tcW w:type="dxa" w:w="3744"/>
            <w:shd w:fill="FFFFFF"/>
            <w:tcMar>
              <w:top w:w="80" w:type="dxa"/>
              <w:bottom w:w="80" w:type="dxa"/>
              <w:left w:w="100" w:type="dxa"/>
              <w:right w:w="100" w:type="dxa"/>
            </w:tcMar>
          </w:tcPr>
          <w:p>
            <w:r>
              <w:rPr>
                <w:rFonts w:ascii="Calibri" w:hAnsi="Calibri"/>
                <w:color w:val="334155"/>
                <w:sz w:val="19"/>
              </w:rPr>
              <w:t>Role Disabled (isActive = false)</w:t>
            </w:r>
          </w:p>
        </w:tc>
        <w:tc>
          <w:tcPr>
            <w:tcW w:type="dxa" w:w="3024"/>
            <w:shd w:fill="FFFFFF"/>
            <w:tcMar>
              <w:top w:w="80" w:type="dxa"/>
              <w:bottom w:w="80" w:type="dxa"/>
              <w:left w:w="100" w:type="dxa"/>
              <w:right w:w="100" w:type="dxa"/>
            </w:tcMar>
          </w:tcPr>
          <w:p>
            <w:r>
              <w:rPr>
                <w:rFonts w:ascii="Calibri" w:hAnsi="Calibri"/>
                <w:color w:val="334155"/>
                <w:sz w:val="19"/>
              </w:rPr>
              <w:t>Hidden (No users assigned)</w:t>
            </w:r>
          </w:p>
        </w:tc>
      </w:tr>
    </w:tbl>
    <w:p>
      <w:pPr>
        <w:spacing w:after="200"/>
      </w:pPr>
    </w:p>
    <w:p>
      <w:pPr>
        <w:pStyle w:val="Heading1"/>
        <w:spacing w:before="280" w:after="120"/>
      </w:pPr>
      <w:r>
        <w:t>7. Step-by-Step Implementation Roadmap</w:t>
      </w:r>
    </w:p>
    <w:p>
      <w:pPr>
        <w:spacing w:before="120" w:after="40"/>
      </w:pPr>
      <w:r>
        <w:rPr>
          <w:rFonts w:ascii="Calibri" w:hAnsi="Calibri"/>
          <w:b/>
          <w:color w:val="1B365D"/>
          <w:sz w:val="22"/>
        </w:rPr>
        <w:t>■ Phase 1: Platform Provisioning</w:t>
      </w:r>
    </w:p>
    <w:p>
      <w:pPr>
        <w:spacing w:after="40"/>
        <w:ind w:left="360"/>
      </w:pPr>
      <w:r>
        <w:rPr>
          <w:rFonts w:ascii="Calibri" w:hAnsi="Calibri"/>
          <w:color w:val="334155"/>
          <w:sz w:val="20"/>
        </w:rPr>
        <w:t>→ Log into Platform Admin portal.</w:t>
      </w:r>
    </w:p>
    <w:p>
      <w:pPr>
        <w:spacing w:after="40"/>
        <w:ind w:left="360"/>
      </w:pPr>
      <w:r>
        <w:rPr>
          <w:rFonts w:ascii="Calibri" w:hAnsi="Calibri"/>
          <w:color w:val="334155"/>
          <w:sz w:val="20"/>
        </w:rPr>
        <w:t>→ Create School Tenant organization record.</w:t>
      </w:r>
    </w:p>
    <w:p>
      <w:pPr>
        <w:spacing w:after="40"/>
        <w:ind w:left="360"/>
      </w:pPr>
      <w:r>
        <w:rPr>
          <w:rFonts w:ascii="Calibri" w:hAnsi="Calibri"/>
          <w:color w:val="334155"/>
          <w:sz w:val="20"/>
        </w:rPr>
        <w:t>→ Generate primary Super Admin user credentials.</w:t>
      </w:r>
    </w:p>
    <w:p>
      <w:pPr>
        <w:spacing w:after="40"/>
        <w:ind w:left="360"/>
      </w:pPr>
      <w:r>
        <w:rPr>
          <w:rFonts w:ascii="Calibri" w:hAnsi="Calibri"/>
          <w:color w:val="334155"/>
          <w:sz w:val="20"/>
        </w:rPr>
        <w:t>→ Hand over access URL and temporary credentials to school owner.</w:t>
      </w:r>
    </w:p>
    <w:p>
      <w:pPr>
        <w:spacing w:before="120" w:after="40"/>
      </w:pPr>
      <w:r>
        <w:rPr>
          <w:rFonts w:ascii="Calibri" w:hAnsi="Calibri"/>
          <w:b/>
          <w:color w:val="1B365D"/>
          <w:sz w:val="22"/>
        </w:rPr>
        <w:t>■ Phase 2: Role &amp; Feature Architecture</w:t>
      </w:r>
    </w:p>
    <w:p>
      <w:pPr>
        <w:spacing w:after="40"/>
        <w:ind w:left="360"/>
      </w:pPr>
      <w:r>
        <w:rPr>
          <w:rFonts w:ascii="Calibri" w:hAnsi="Calibri"/>
          <w:color w:val="334155"/>
          <w:sz w:val="20"/>
        </w:rPr>
        <w:t>→ School Super Admin signs into tenant dashboard.</w:t>
      </w:r>
    </w:p>
    <w:p>
      <w:pPr>
        <w:spacing w:after="40"/>
        <w:ind w:left="360"/>
      </w:pPr>
      <w:r>
        <w:rPr>
          <w:rFonts w:ascii="Calibri" w:hAnsi="Calibri"/>
          <w:color w:val="334155"/>
          <w:sz w:val="20"/>
        </w:rPr>
        <w:t>→ Opens Settings → Roles &amp; Features.</w:t>
      </w:r>
    </w:p>
    <w:p>
      <w:pPr>
        <w:spacing w:after="40"/>
        <w:ind w:left="360"/>
      </w:pPr>
      <w:r>
        <w:rPr>
          <w:rFonts w:ascii="Calibri" w:hAnsi="Calibri"/>
          <w:color w:val="334155"/>
          <w:sz w:val="20"/>
        </w:rPr>
        <w:t>→ Turns OFF unused roles (Cashier, HR Manager, etc.).</w:t>
      </w:r>
    </w:p>
    <w:p>
      <w:pPr>
        <w:spacing w:after="40"/>
        <w:ind w:left="360"/>
      </w:pPr>
      <w:r>
        <w:rPr>
          <w:rFonts w:ascii="Calibri" w:hAnsi="Calibri"/>
          <w:color w:val="334155"/>
          <w:sz w:val="20"/>
        </w:rPr>
        <w:t>→ Renames active roles to match institutional titles.</w:t>
      </w:r>
    </w:p>
    <w:p>
      <w:pPr>
        <w:spacing w:after="40"/>
        <w:ind w:left="360"/>
      </w:pPr>
      <w:r>
        <w:rPr>
          <w:rFonts w:ascii="Calibri" w:hAnsi="Calibri"/>
          <w:color w:val="334155"/>
          <w:sz w:val="20"/>
        </w:rPr>
        <w:t>→ Ticks/unticks features in the Matrix to distribute responsibilities.</w:t>
      </w:r>
    </w:p>
    <w:p>
      <w:pPr>
        <w:spacing w:before="120" w:after="40"/>
      </w:pPr>
      <w:r>
        <w:rPr>
          <w:rFonts w:ascii="Calibri" w:hAnsi="Calibri"/>
          <w:b/>
          <w:color w:val="1B365D"/>
          <w:sz w:val="22"/>
        </w:rPr>
        <w:t>■ Phase 3: Staff Account Creation</w:t>
      </w:r>
    </w:p>
    <w:p>
      <w:pPr>
        <w:spacing w:after="40"/>
        <w:ind w:left="360"/>
      </w:pPr>
      <w:r>
        <w:rPr>
          <w:rFonts w:ascii="Calibri" w:hAnsi="Calibri"/>
          <w:color w:val="334155"/>
          <w:sz w:val="20"/>
        </w:rPr>
        <w:t>→ Opens Staff → Users.</w:t>
      </w:r>
    </w:p>
    <w:p>
      <w:pPr>
        <w:spacing w:after="40"/>
        <w:ind w:left="360"/>
      </w:pPr>
      <w:r>
        <w:rPr>
          <w:rFonts w:ascii="Calibri" w:hAnsi="Calibri"/>
          <w:color w:val="334155"/>
          <w:sz w:val="20"/>
        </w:rPr>
        <w:t>→ Creates staff accounts and selects their configured custom roles.</w:t>
      </w:r>
    </w:p>
    <w:p>
      <w:pPr>
        <w:spacing w:after="40"/>
        <w:ind w:left="360"/>
      </w:pPr>
      <w:r>
        <w:rPr>
          <w:rFonts w:ascii="Calibri" w:hAnsi="Calibri"/>
          <w:color w:val="334155"/>
          <w:sz w:val="20"/>
        </w:rPr>
        <w:t>→ Applies per-user permission adjustments if specific exceptions are needed.</w:t>
      </w:r>
    </w:p>
    <w:p>
      <w:pPr>
        <w:spacing w:before="120" w:after="40"/>
      </w:pPr>
      <w:r>
        <w:rPr>
          <w:rFonts w:ascii="Calibri" w:hAnsi="Calibri"/>
          <w:b/>
          <w:color w:val="1B365D"/>
          <w:sz w:val="22"/>
        </w:rPr>
        <w:t>■ Phase 4: Academic &amp; Financial Launch</w:t>
      </w:r>
    </w:p>
    <w:p>
      <w:pPr>
        <w:spacing w:after="40"/>
        <w:ind w:left="360"/>
      </w:pPr>
      <w:r>
        <w:rPr>
          <w:rFonts w:ascii="Calibri" w:hAnsi="Calibri"/>
          <w:color w:val="334155"/>
          <w:sz w:val="20"/>
        </w:rPr>
        <w:t>→ Set up Academic Year, Branches, and Classes.</w:t>
      </w:r>
    </w:p>
    <w:p>
      <w:pPr>
        <w:spacing w:after="40"/>
        <w:ind w:left="360"/>
      </w:pPr>
      <w:r>
        <w:rPr>
          <w:rFonts w:ascii="Calibri" w:hAnsi="Calibri"/>
          <w:color w:val="334155"/>
          <w:sz w:val="20"/>
        </w:rPr>
        <w:t>→ Define monthly fee structures per class or category.</w:t>
      </w:r>
    </w:p>
    <w:p>
      <w:pPr>
        <w:spacing w:after="40"/>
        <w:ind w:left="360"/>
      </w:pPr>
      <w:r>
        <w:rPr>
          <w:rFonts w:ascii="Calibri" w:hAnsi="Calibri"/>
          <w:color w:val="334155"/>
          <w:sz w:val="20"/>
        </w:rPr>
        <w:t>→ Admit and enroll active students.</w:t>
      </w:r>
    </w:p>
    <w:p>
      <w:pPr>
        <w:spacing w:after="40"/>
        <w:ind w:left="360"/>
      </w:pPr>
      <w:r>
        <w:rPr>
          <w:rFonts w:ascii="Calibri" w:hAnsi="Calibri"/>
          <w:color w:val="334155"/>
          <w:sz w:val="20"/>
        </w:rPr>
        <w:t>→ Execute monthly 1-click invoice generation.</w:t>
      </w:r>
    </w:p>
    <w:p>
      <w:pPr>
        <w:spacing w:after="40"/>
        <w:ind w:left="360"/>
      </w:pPr>
      <w:r>
        <w:rPr>
          <w:rFonts w:ascii="Calibri" w:hAnsi="Calibri"/>
          <w:color w:val="334155"/>
          <w:sz w:val="20"/>
        </w:rPr>
        <w:t>→ Collect student fees oldest-month first at the Payments Desk.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