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/>
          <w:b/>
          <w:sz w:val="28"/>
        </w:rPr>
        <w:t>1. Постановка задачи</w:t>
      </w:r>
    </w:p>
    <w:p>
      <w:pPr>
        <w:ind w:firstLine="700"/>
        <w:jc w:val="both"/>
      </w:pPr>
      <w:r>
        <w:rPr>
          <w:rFonts w:ascii="Times New Roman" w:hAnsi="Times New Roman"/>
          <w:sz w:val="28"/>
        </w:rPr>
        <w:t>Цель разработки заключается в создании веб-приложения туристической платформы, объединяющего каталог туров, бронирование, пользовательские коммуникации и административные инструменты управления. На уровне прикладной постановки важно было не только реализовать отдельные функции, но и обеспечить их совместную работу в рамках единой ролевой модели: гость, зарегистрированный пользователь и администратор.</w:t>
      </w:r>
    </w:p>
    <w:p>
      <w:pPr>
        <w:ind w:firstLine="700"/>
        <w:jc w:val="both"/>
      </w:pPr>
      <w:r>
        <w:rPr>
          <w:rFonts w:ascii="Times New Roman" w:hAnsi="Times New Roman"/>
          <w:sz w:val="28"/>
        </w:rPr>
        <w:t>Практическая задача проекта состояла в проектировании структуры данных и программных модулей так, чтобы система поддерживала реальную эксплуатацию: конкурентные обращения к данным, устойчивую обработку ошибок, отслеживание статусов и прозрачность пользовательских действий. Дополнительно учитывались требования к расширяемости, чтобы новые модули можно было добавлять без полной переработки базовой архитектуры.</w:t>
      </w:r>
    </w:p>
    <w:p>
      <w:pPr>
        <w:jc w:val="left"/>
      </w:pPr>
      <w:r>
        <w:rPr>
          <w:rFonts w:ascii="Times New Roman" w:hAnsi="Times New Roman"/>
          <w:b/>
          <w:sz w:val="28"/>
        </w:rPr>
        <w:t>2. Проектирование базы данных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При проектировании базы данных выделялись следующие сущности (с указанием назначения каждой таблицы):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— profiles — хранит учетные и профильные данные пользователя, роль, статус и признаки модерации.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— cities — справочник городов и локаций, используемый в карточках туров и фильтрации.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— tours — каталог туров: название, описание, параметры маршрута, даты, стоимость, вместимость и статус публикации.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— bookings — фиксирует факт бронирования тура пользователем и статусы заявки/оплаты.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— booking_attendees — хранит состав участников по каждой брони и персональные данные путешественников.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— travel_diaries — содержит пользовательские дневники поездок, текстовый контент и геоданные публикаций.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— achievements — хранит достижения и бейджи пользователя, условия и дату получения.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— support_sessions — описывает сессии обращений в поддержку (контекст диалога, состояние, сроки).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— chat_messages — хранит сообщения внутри сессий поддержки с привязкой к отправителю.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— notifications — содержит события и уведомления для пользователя, включая признак прочтения.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Для наглядного представления структуры данных и взаимосвязей между сущностями используется ERD-диаграмма.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[ВСТАВИТЬ ERD-ДИАГРАММУ БАЗЫ ДАННЫХ]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На рисунке X представлена ERD-диаграмма базы данных разработанного веб-приложения.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Диаграмма подтверждает корректность выбранной модели: таблицы пользовательского контура, каталога туров, бронирований, дневников и служебных коммуникаций связаны в единую реляционную структуру, обеспечивающую целостность и расширяемость системы.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№</w:t>
            </w:r>
          </w:p>
        </w:tc>
        <w:tc>
          <w:tcPr>
            <w:tcW w:type="dxa" w:w="2880"/>
          </w:tcPr>
          <w:p>
            <w:r>
              <w:t>Назначение</w:t>
            </w:r>
          </w:p>
        </w:tc>
        <w:tc>
          <w:tcPr>
            <w:tcW w:type="dxa" w:w="2880"/>
          </w:tcPr>
          <w:p>
            <w:r>
              <w:t>HEX (код для палитры в Word)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Акцент: активные ссылки, кнопки, иконки навигации (emerald-600)</w:t>
            </w:r>
          </w:p>
        </w:tc>
        <w:tc>
          <w:tcPr>
            <w:tcW w:type="dxa" w:w="2880"/>
          </w:tcPr>
          <w:p>
            <w:r>
              <w:t>#059669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Светлый фон подсветки пункта меню (emerald-50)</w:t>
            </w:r>
          </w:p>
        </w:tc>
        <w:tc>
          <w:tcPr>
            <w:tcW w:type="dxa" w:w="2880"/>
          </w:tcPr>
          <w:p>
            <w:r>
              <w:t>#ECFDF5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Светлая заливка при наведении, полупрозрачно в интерфейсе (emerald-50/50)</w:t>
            </w:r>
          </w:p>
        </w:tc>
        <w:tc>
          <w:tcPr>
            <w:tcW w:type="dxa" w:w="2880"/>
          </w:tcPr>
          <w:p>
            <w:r>
              <w:t>#ECFDF5 (с прозрачностью в UI)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Основной фон страницы (белый)</w:t>
            </w:r>
          </w:p>
        </w:tc>
        <w:tc>
          <w:tcPr>
            <w:tcW w:type="dxa" w:w="2880"/>
          </w:tcPr>
          <w:p>
            <w:r>
              <w:t>#FFFFFF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Фон вспомогательных блоков (gray-100)</w:t>
            </w:r>
          </w:p>
        </w:tc>
        <w:tc>
          <w:tcPr>
            <w:tcW w:type="dxa" w:w="2880"/>
          </w:tcPr>
          <w:p>
            <w:r>
              <w:t>#F3F4F6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Разделители, обводки карточек (gray-200)</w:t>
            </w:r>
          </w:p>
        </w:tc>
        <w:tc>
          <w:tcPr>
            <w:tcW w:type="dxa" w:w="2880"/>
          </w:tcPr>
          <w:p>
            <w:r>
              <w:t>#E5E7EB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Основной текст, иконки второго плана (gray-700)</w:t>
            </w:r>
          </w:p>
        </w:tc>
        <w:tc>
          <w:tcPr>
            <w:tcW w:type="dxa" w:w="2880"/>
          </w:tcPr>
          <w:p>
            <w:r>
              <w:t>#374151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Заголовки, логотип/бренд текст (gray-900)</w:t>
            </w:r>
          </w:p>
        </w:tc>
        <w:tc>
          <w:tcPr>
            <w:tcW w:type="dxa" w:w="2880"/>
          </w:tcPr>
          <w:p>
            <w:r>
              <w:t>#111827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Текст на тёмных подложках / базовый тёмный из темы (foreground)</w:t>
            </w:r>
          </w:p>
        </w:tc>
        <w:tc>
          <w:tcPr>
            <w:tcW w:type="dxa" w:w="2880"/>
          </w:tcPr>
          <w:p>
            <w:r>
              <w:t>#171717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Фирменные цвета логотипа в SVG (тёмно-зелёный, по комментарию в проекте)</w:t>
            </w:r>
          </w:p>
        </w:tc>
        <w:tc>
          <w:tcPr>
            <w:tcW w:type="dxa" w:w="2880"/>
          </w:tcPr>
          <w:p>
            <w:r>
              <w:t>#1A4D2E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Фирменные цвета логотипа в SVG (золотой акцент)</w:t>
            </w:r>
          </w:p>
        </w:tc>
        <w:tc>
          <w:tcPr>
            <w:tcW w:type="dxa" w:w="2880"/>
          </w:tcPr>
          <w:p>
            <w:r>
              <w:t>#D4AF37</w:t>
            </w:r>
          </w:p>
        </w:tc>
      </w:tr>
    </w:tbl>
    <w:p>
      <w:pPr>
        <w:spacing w:lineRule="auto" w:line="360" w:after="6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 Проектирование пользовательского интерфейса</w:t>
      </w:r>
    </w:p>
    <w:p>
      <w:pPr>
        <w:spacing w:lineRule="auto" w:line="360" w:after="0" w:before="0"/>
        <w:ind w:firstLine="709"/>
        <w:jc w:val="both"/>
      </w:pPr>
      <w:r>
        <w:t>Проектирование пользовательского интерфейса выполнялось в рамках единой концепции визуальной и функциональной целостности веб-приложения. При разработке учитывались требования к понятной навигации, читаемости контента, предсказуемости пользовательских сценариев и согласованности экранов для разных ролей системы.</w:t>
      </w:r>
    </w:p>
    <w:p>
      <w:pPr>
        <w:spacing w:lineRule="auto" w:line="360" w:after="0" w:before="0"/>
        <w:ind w:firstLine="709"/>
        <w:jc w:val="both"/>
      </w:pPr>
      <w:r>
        <w:t>Независимо от типа страницы (публичной, авторизационной или административной) используются единые стилистические принципы: светлая базовая тема, акцентная цветовая палитра, унифицированная типографика и адаптивная верстка для различных разрешений экрана.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Главная страница выступает точкой входа в приложение и направляет пользователя к базовым сценариям: просмотру туров, переходу к подробной информации и дальнейшему бронированию. Компоновка главного экрана выполнена так, чтобы ключевые действия были доступны без избыточной навигации (см. рисунок 1).</w:t>
      </w:r>
    </w:p>
    <w:p>
      <w:pPr>
        <w:spacing w:lineRule="auto" w:line="240" w:after="120" w:before="60"/>
        <w:ind w:firstLine="0"/>
        <w:jc w:val="center"/>
      </w:pPr>
      <w:r>
        <w:rPr>
          <w:rFonts w:ascii="Times New Roman" w:hAnsi="Times New Roman" w:eastAsia="Times New Roman"/>
          <w:i/>
          <w:sz w:val="28"/>
        </w:rPr>
        <w:t>Рисунок 1 – Главная страница веб-приложения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Экран регистрации обеспечивает ввод и первичную валидацию учетных данных пользователя. Форма организована в понятной последовательности полей, а текстовые подсказки и сообщения об ошибках помогают снизить количество некорректных действий на этапе создания учетной записи (см. рисунок 2).</w:t>
      </w:r>
    </w:p>
    <w:p>
      <w:pPr>
        <w:spacing w:lineRule="auto" w:line="240" w:after="120" w:before="60"/>
        <w:ind w:firstLine="0"/>
        <w:jc w:val="center"/>
      </w:pPr>
      <w:r>
        <w:rPr>
          <w:rFonts w:ascii="Times New Roman" w:hAnsi="Times New Roman" w:eastAsia="Times New Roman"/>
          <w:i/>
          <w:sz w:val="28"/>
        </w:rPr>
        <w:t>Рисунок 2 – Экран регистрации пользователя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Административная часть вынесена в отдельный интерфейс и предназначена для управления турами, пользователями и служебными процессами платформы. Разделение публичного и административного контуров повышает удобство сопровождения и обеспечивает более прозрачную структуру ролей в системе (см. рисунок 3).</w:t>
      </w:r>
    </w:p>
    <w:p>
      <w:pPr>
        <w:spacing w:lineRule="auto" w:line="240" w:after="120" w:before="60"/>
        <w:ind w:firstLine="0"/>
        <w:jc w:val="center"/>
      </w:pPr>
      <w:r>
        <w:rPr>
          <w:rFonts w:ascii="Times New Roman" w:hAnsi="Times New Roman" w:eastAsia="Times New Roman"/>
          <w:i/>
          <w:sz w:val="28"/>
        </w:rPr>
        <w:t>Рисунок 3 – Административный интерфейс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