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5EB" w:rsidRDefault="005A2098" w:rsidP="005505E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/>
          <w:color w:val="2B2B2B"/>
        </w:rPr>
      </w:pPr>
      <w:r w:rsidRPr="005505EB">
        <w:rPr>
          <w:rFonts w:ascii="Arial" w:hAnsi="Arial"/>
          <w:color w:val="2B2B2B"/>
        </w:rPr>
        <w:t>Given the provided data, what are three conclusions that we can draw about crowdfunding campaigns?</w:t>
      </w:r>
    </w:p>
    <w:p w:rsidR="005505EB" w:rsidRDefault="005505EB" w:rsidP="005505E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</w:rPr>
      </w:pPr>
      <w:r>
        <w:rPr>
          <w:rFonts w:ascii="Arial" w:hAnsi="Arial"/>
          <w:color w:val="2B2B2B"/>
        </w:rPr>
        <w:t>The most common type of fundraiser is plays. Roughly 1/3 of fundraisers had category theater and sub-category of Plays.</w:t>
      </w:r>
    </w:p>
    <w:p w:rsidR="005505EB" w:rsidRDefault="005505EB" w:rsidP="005505E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</w:rPr>
      </w:pPr>
      <w:r>
        <w:rPr>
          <w:rFonts w:ascii="Arial" w:hAnsi="Arial"/>
          <w:color w:val="2B2B2B"/>
        </w:rPr>
        <w:t xml:space="preserve"> </w:t>
      </w:r>
      <w:r w:rsidR="00A456C5">
        <w:rPr>
          <w:rFonts w:ascii="Arial" w:hAnsi="Arial"/>
          <w:color w:val="2B2B2B"/>
        </w:rPr>
        <w:t xml:space="preserve">All but 3 campaigns that asked for between $15,000 and $35,000 met or exceeded their goals. </w:t>
      </w:r>
      <w:r w:rsidR="002D2160">
        <w:rPr>
          <w:rFonts w:ascii="Arial" w:hAnsi="Arial"/>
          <w:color w:val="2B2B2B"/>
        </w:rPr>
        <w:t>3/38 failed.</w:t>
      </w:r>
    </w:p>
    <w:p w:rsidR="005505EB" w:rsidRPr="005505EB" w:rsidRDefault="002D2160" w:rsidP="005505E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</w:rPr>
      </w:pPr>
      <w:r>
        <w:rPr>
          <w:rFonts w:ascii="Arial" w:hAnsi="Arial"/>
          <w:color w:val="2B2B2B"/>
        </w:rPr>
        <w:t>Both the number of campaigns started and the percent that are successful is steady throughout the year with a small bump during the summer months.</w:t>
      </w:r>
      <w:bookmarkStart w:id="0" w:name="_GoBack"/>
      <w:bookmarkEnd w:id="0"/>
    </w:p>
    <w:p w:rsidR="005A2098" w:rsidRDefault="005A2098" w:rsidP="005A209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/>
          <w:color w:val="2B2B2B"/>
        </w:rPr>
      </w:pPr>
      <w:r w:rsidRPr="005505EB">
        <w:rPr>
          <w:rFonts w:ascii="Arial" w:hAnsi="Arial"/>
          <w:color w:val="2B2B2B"/>
        </w:rPr>
        <w:t>What are some limitations of this dataset?</w:t>
      </w:r>
    </w:p>
    <w:p w:rsidR="005505EB" w:rsidRPr="005505EB" w:rsidRDefault="005505EB" w:rsidP="005505E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</w:rPr>
      </w:pPr>
      <w:r>
        <w:rPr>
          <w:rFonts w:ascii="Arial" w:hAnsi="Arial"/>
          <w:color w:val="2B2B2B"/>
        </w:rPr>
        <w:t>There are only 1000 data</w:t>
      </w:r>
      <w:r w:rsidR="008214BB">
        <w:rPr>
          <w:rFonts w:ascii="Arial" w:hAnsi="Arial"/>
          <w:color w:val="2B2B2B"/>
        </w:rPr>
        <w:t xml:space="preserve"> </w:t>
      </w:r>
      <w:r>
        <w:rPr>
          <w:rFonts w:ascii="Arial" w:hAnsi="Arial"/>
          <w:color w:val="2B2B2B"/>
        </w:rPr>
        <w:t xml:space="preserve">points here, which is enough to draw some conclusions but would be way </w:t>
      </w:r>
      <w:r w:rsidR="008214BB">
        <w:rPr>
          <w:rFonts w:ascii="Arial" w:hAnsi="Arial"/>
          <w:color w:val="2B2B2B"/>
        </w:rPr>
        <w:t>smaller than an actual dataset someone at GoFundMe would be doing this analysis with.</w:t>
      </w:r>
      <w:r>
        <w:rPr>
          <w:rFonts w:ascii="Arial" w:hAnsi="Arial"/>
          <w:color w:val="2B2B2B"/>
        </w:rPr>
        <w:t xml:space="preserve"> </w:t>
      </w:r>
    </w:p>
    <w:p w:rsidR="005A2098" w:rsidRDefault="005A2098" w:rsidP="005A209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/>
          <w:color w:val="2B2B2B"/>
        </w:rPr>
      </w:pPr>
      <w:r w:rsidRPr="005505EB">
        <w:rPr>
          <w:rFonts w:ascii="Arial" w:hAnsi="Arial"/>
          <w:color w:val="2B2B2B"/>
        </w:rPr>
        <w:t>What are some other possible tables and/or graphs that we could create, and what additional value would they provide?</w:t>
      </w:r>
    </w:p>
    <w:p w:rsidR="008214BB" w:rsidRDefault="008214BB" w:rsidP="001239C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</w:rPr>
      </w:pPr>
      <w:r>
        <w:rPr>
          <w:rFonts w:ascii="Arial" w:hAnsi="Arial"/>
          <w:color w:val="2B2B2B"/>
        </w:rPr>
        <w:t>It may be valuable to look at how fundraisers that have the “</w:t>
      </w:r>
      <w:proofErr w:type="spellStart"/>
      <w:r>
        <w:rPr>
          <w:rFonts w:ascii="Arial" w:hAnsi="Arial"/>
          <w:color w:val="2B2B2B"/>
        </w:rPr>
        <w:t>Staff_Picks</w:t>
      </w:r>
      <w:proofErr w:type="spellEnd"/>
      <w:r>
        <w:rPr>
          <w:rFonts w:ascii="Arial" w:hAnsi="Arial"/>
          <w:color w:val="2B2B2B"/>
        </w:rPr>
        <w:t>” or “Spotlight” tags perform relative to those that don’t. This could be a line graph to show if these tags make fundraisers more consistently successful</w:t>
      </w:r>
      <w:r w:rsidR="001239C6">
        <w:rPr>
          <w:rFonts w:ascii="Arial" w:hAnsi="Arial"/>
          <w:color w:val="2B2B2B"/>
        </w:rPr>
        <w:t>.</w:t>
      </w:r>
    </w:p>
    <w:p w:rsidR="001239C6" w:rsidRDefault="001239C6" w:rsidP="001239C6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2B2B2B"/>
        </w:rPr>
      </w:pPr>
    </w:p>
    <w:p w:rsidR="00E016C2" w:rsidRDefault="00E016C2" w:rsidP="001239C6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2B2B2B"/>
        </w:rPr>
      </w:pPr>
    </w:p>
    <w:p w:rsidR="00E016C2" w:rsidRPr="001239C6" w:rsidRDefault="00E016C2" w:rsidP="001239C6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2B2B2B"/>
        </w:rPr>
      </w:pPr>
      <w:r>
        <w:rPr>
          <w:rFonts w:ascii="Arial" w:hAnsi="Arial"/>
          <w:color w:val="2B2B2B"/>
        </w:rPr>
        <w:tab/>
      </w:r>
      <w:r>
        <w:rPr>
          <w:rFonts w:ascii="Arial" w:hAnsi="Arial"/>
          <w:color w:val="2B2B2B"/>
        </w:rPr>
        <w:tab/>
      </w:r>
    </w:p>
    <w:sectPr w:rsidR="00E016C2" w:rsidRPr="001239C6" w:rsidSect="00EF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346B3"/>
    <w:multiLevelType w:val="multilevel"/>
    <w:tmpl w:val="2C5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98"/>
    <w:rsid w:val="001239C6"/>
    <w:rsid w:val="002D2160"/>
    <w:rsid w:val="005505EB"/>
    <w:rsid w:val="005A2098"/>
    <w:rsid w:val="008214BB"/>
    <w:rsid w:val="00A456C5"/>
    <w:rsid w:val="00E016C2"/>
    <w:rsid w:val="00E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DA957"/>
  <w15:chartTrackingRefBased/>
  <w15:docId w15:val="{F48DBC41-3D35-3544-A70F-E3B74EF5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0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Gartley</dc:creator>
  <cp:keywords/>
  <dc:description/>
  <cp:lastModifiedBy>Thomas Gartley</cp:lastModifiedBy>
  <cp:revision>1</cp:revision>
  <dcterms:created xsi:type="dcterms:W3CDTF">2024-10-17T17:53:00Z</dcterms:created>
  <dcterms:modified xsi:type="dcterms:W3CDTF">2024-10-21T19:54:00Z</dcterms:modified>
</cp:coreProperties>
</file>