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52" w:rsidRDefault="00E23C52" w:rsidP="00E23C52">
      <w:pPr>
        <w:pStyle w:val="Heading4"/>
      </w:pPr>
      <w:r>
        <w:t>Map Title</w:t>
      </w:r>
    </w:p>
    <w:p w:rsidR="00E23C52" w:rsidRPr="00E23C52" w:rsidRDefault="00E23C52" w:rsidP="00E23C52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23C52" w:rsidRPr="00E23C52" w:rsidTr="00E23C52">
        <w:tc>
          <w:tcPr>
            <w:tcW w:w="1728" w:type="dxa"/>
            <w:shd w:val="clear" w:color="auto" w:fill="auto"/>
          </w:tcPr>
          <w:p w:rsidR="00E23C52" w:rsidRPr="00E23C52" w:rsidRDefault="00E23C52" w:rsidP="00E23C52">
            <w:pPr>
              <w:pStyle w:val="Heading5"/>
            </w:pPr>
            <w:r>
              <w:t>COSO</w:t>
            </w:r>
          </w:p>
        </w:tc>
        <w:tc>
          <w:tcPr>
            <w:tcW w:w="7740" w:type="dxa"/>
            <w:shd w:val="clear" w:color="auto" w:fill="auto"/>
          </w:tcPr>
          <w:p w:rsidR="00E23C52" w:rsidRPr="00E23C52" w:rsidRDefault="00E23C52" w:rsidP="00675385">
            <w:pPr>
              <w:pStyle w:val="BlockText"/>
            </w:pPr>
            <w:r w:rsidRPr="00E23C52">
              <w:t xml:space="preserve">The Committee of Sponsoring Organizations of the </w:t>
            </w:r>
            <w:proofErr w:type="spellStart"/>
            <w:r w:rsidRPr="00E23C52">
              <w:t>Treadway</w:t>
            </w:r>
            <w:proofErr w:type="spellEnd"/>
            <w:r w:rsidRPr="00E23C52">
              <w:t xml:space="preserve"> Commission (COSO) is a</w:t>
            </w:r>
            <w:r w:rsidR="00675385">
              <w:t>n</w:t>
            </w:r>
            <w:r w:rsidRPr="00E23C52">
              <w:t xml:space="preserve"> initiative dedicated to providing thought leadership to executive management and governance entities on critical aspects of organizational governance, business ethics, internal control, enterprise risk management, fraud, and financial reporting.</w:t>
            </w:r>
          </w:p>
        </w:tc>
      </w:tr>
    </w:tbl>
    <w:p w:rsidR="00E23C52" w:rsidRPr="00E23C52" w:rsidRDefault="00E23C52" w:rsidP="00E23C52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23C52" w:rsidRPr="00E23C52" w:rsidTr="00E23C52">
        <w:tc>
          <w:tcPr>
            <w:tcW w:w="1728" w:type="dxa"/>
            <w:shd w:val="clear" w:color="auto" w:fill="auto"/>
          </w:tcPr>
          <w:p w:rsidR="00E23C52" w:rsidRPr="00E23C52" w:rsidRDefault="00E23C52" w:rsidP="00E23C52">
            <w:pPr>
              <w:pStyle w:val="Heading5"/>
            </w:pPr>
            <w:r>
              <w:t>COBIT</w:t>
            </w:r>
          </w:p>
        </w:tc>
        <w:tc>
          <w:tcPr>
            <w:tcW w:w="7740" w:type="dxa"/>
            <w:shd w:val="clear" w:color="auto" w:fill="auto"/>
          </w:tcPr>
          <w:p w:rsidR="00E23C52" w:rsidRPr="00E23C52" w:rsidRDefault="00E23C52" w:rsidP="004D4C49">
            <w:pPr>
              <w:pStyle w:val="BlockText"/>
            </w:pPr>
            <w:r w:rsidRPr="00E23C52">
              <w:t>Control Objectives for Information and Related Technology (COBIT) is a fram</w:t>
            </w:r>
            <w:r w:rsidR="004D4C49">
              <w:t xml:space="preserve">ework created </w:t>
            </w:r>
            <w:r w:rsidRPr="00E23C52">
              <w:t xml:space="preserve">for IT management and governance. </w:t>
            </w:r>
            <w:r w:rsidR="004D4C49">
              <w:t xml:space="preserve"> </w:t>
            </w:r>
            <w:r w:rsidRPr="00E23C52">
              <w:t>It is a supporting toolset that allows managers to bridge the gap between control requirements, technical issues</w:t>
            </w:r>
            <w:r w:rsidR="004D4C49">
              <w:t>,</w:t>
            </w:r>
            <w:r w:rsidRPr="00E23C52">
              <w:t xml:space="preserve"> and business risks.</w:t>
            </w:r>
            <w:r w:rsidR="00B94032">
              <w:t xml:space="preserve">  COBIT is most commonly used to comply with SOX.</w:t>
            </w:r>
          </w:p>
        </w:tc>
      </w:tr>
    </w:tbl>
    <w:p w:rsidR="00E23C52" w:rsidRPr="00E23C52" w:rsidRDefault="00E23C52" w:rsidP="00E23C52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23C52" w:rsidRPr="00E23C52" w:rsidTr="00E23C52">
        <w:tc>
          <w:tcPr>
            <w:tcW w:w="1728" w:type="dxa"/>
            <w:shd w:val="clear" w:color="auto" w:fill="auto"/>
          </w:tcPr>
          <w:p w:rsidR="00E23C52" w:rsidRPr="00E23C52" w:rsidRDefault="00BE7C83" w:rsidP="00E23C52">
            <w:pPr>
              <w:pStyle w:val="Heading5"/>
            </w:pPr>
            <w:r w:rsidRPr="00BE7C83">
              <w:t>Sarbanes–Oxley Act</w:t>
            </w:r>
            <w:r w:rsidR="00CC6620">
              <w:t xml:space="preserve"> (SOX)</w:t>
            </w:r>
          </w:p>
        </w:tc>
        <w:tc>
          <w:tcPr>
            <w:tcW w:w="7740" w:type="dxa"/>
            <w:shd w:val="clear" w:color="auto" w:fill="auto"/>
          </w:tcPr>
          <w:p w:rsidR="00E23C52" w:rsidRPr="00E23C52" w:rsidRDefault="00BE7C83" w:rsidP="007716E2">
            <w:pPr>
              <w:pStyle w:val="BlockText"/>
            </w:pPr>
            <w:r w:rsidRPr="00BE7C83">
              <w:t>The bill was enacted as a reaction to a number of major corporate and accounting scandals including those affecting Enron, Tyco International, Adelphia, Peregrine Systems and WorldCom.</w:t>
            </w:r>
            <w:r>
              <w:t xml:space="preserve">  </w:t>
            </w:r>
            <w:r w:rsidR="007716E2">
              <w:t xml:space="preserve"> T</w:t>
            </w:r>
            <w:r w:rsidRPr="00BE7C83">
              <w:t>he act covers issues such as auditor independence, corporate governance, internal control assessment, and enhanced financial disclosure.</w:t>
            </w:r>
          </w:p>
        </w:tc>
      </w:tr>
    </w:tbl>
    <w:p w:rsidR="00E23C52" w:rsidRPr="00E23C52" w:rsidRDefault="00E23C52" w:rsidP="00E23C52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E23C52" w:rsidRPr="00E23C52" w:rsidTr="00E23C52">
        <w:tc>
          <w:tcPr>
            <w:tcW w:w="1728" w:type="dxa"/>
            <w:shd w:val="clear" w:color="auto" w:fill="auto"/>
          </w:tcPr>
          <w:p w:rsidR="00E23C52" w:rsidRPr="00E23C52" w:rsidRDefault="00E23C52" w:rsidP="00E23C52">
            <w:pPr>
              <w:pStyle w:val="Heading5"/>
            </w:pPr>
            <w:r>
              <w:t>ISO 27000</w:t>
            </w:r>
          </w:p>
        </w:tc>
        <w:tc>
          <w:tcPr>
            <w:tcW w:w="7740" w:type="dxa"/>
            <w:shd w:val="clear" w:color="auto" w:fill="auto"/>
          </w:tcPr>
          <w:p w:rsidR="00E23C52" w:rsidRPr="00E23C52" w:rsidRDefault="00E23C52" w:rsidP="00E23C52">
            <w:pPr>
              <w:pStyle w:val="BlockText"/>
            </w:pPr>
            <w:r w:rsidRPr="00E23C52">
              <w:t>The series</w:t>
            </w:r>
            <w:r>
              <w:t xml:space="preserve"> of standards</w:t>
            </w:r>
            <w:r w:rsidRPr="00E23C52">
              <w:t xml:space="preserve"> provides best practice recommendations on information security management, risks and controls within the context of an overall information security management system (ISMS</w:t>
            </w:r>
            <w:r>
              <w:t>).</w:t>
            </w:r>
          </w:p>
        </w:tc>
      </w:tr>
    </w:tbl>
    <w:p w:rsidR="009C41B0" w:rsidRPr="009C41B0" w:rsidRDefault="009C41B0" w:rsidP="009C41B0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9C41B0" w:rsidRPr="009C41B0" w:rsidTr="009C41B0">
        <w:tc>
          <w:tcPr>
            <w:tcW w:w="1728" w:type="dxa"/>
            <w:shd w:val="clear" w:color="auto" w:fill="auto"/>
          </w:tcPr>
          <w:p w:rsidR="009C41B0" w:rsidRPr="009C41B0" w:rsidRDefault="00CC6620" w:rsidP="009C41B0">
            <w:pPr>
              <w:pStyle w:val="Heading5"/>
            </w:pPr>
            <w:r w:rsidRPr="00CC6620">
              <w:t>Information Technology Infrastructure Library</w:t>
            </w:r>
            <w:r>
              <w:t xml:space="preserve"> (ITIL)</w:t>
            </w:r>
          </w:p>
        </w:tc>
        <w:tc>
          <w:tcPr>
            <w:tcW w:w="7740" w:type="dxa"/>
            <w:shd w:val="clear" w:color="auto" w:fill="auto"/>
          </w:tcPr>
          <w:p w:rsidR="009C41B0" w:rsidRPr="009C41B0" w:rsidRDefault="00CC6620" w:rsidP="009E19B4">
            <w:pPr>
              <w:pStyle w:val="BlockText"/>
            </w:pPr>
            <w:r w:rsidRPr="00CC6620">
              <w:t>ITIL describes processes, procedures, tasks and checklists that are not organization-specific, used by an organization for establishing integration with the organization's strategy, delivering value and maintaining a minimum level of competency.</w:t>
            </w:r>
            <w:r>
              <w:t xml:space="preserve"> </w:t>
            </w:r>
            <w:r w:rsidRPr="00CC6620">
              <w:t xml:space="preserve"> </w:t>
            </w:r>
          </w:p>
        </w:tc>
      </w:tr>
    </w:tbl>
    <w:p w:rsidR="00CC6620" w:rsidRPr="00CC6620" w:rsidRDefault="00CC6620" w:rsidP="00CC6620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CC6620" w:rsidRPr="00CC6620" w:rsidTr="00CC6620">
        <w:tc>
          <w:tcPr>
            <w:tcW w:w="1728" w:type="dxa"/>
            <w:shd w:val="clear" w:color="auto" w:fill="auto"/>
          </w:tcPr>
          <w:p w:rsidR="00CC6620" w:rsidRPr="00CC6620" w:rsidRDefault="00CC6620" w:rsidP="00CC6620">
            <w:pPr>
              <w:pStyle w:val="Heading5"/>
            </w:pPr>
            <w:r w:rsidRPr="00CC6620">
              <w:t>Capability Maturity Model Integration (CMMI)</w:t>
            </w:r>
          </w:p>
        </w:tc>
        <w:tc>
          <w:tcPr>
            <w:tcW w:w="7740" w:type="dxa"/>
            <w:shd w:val="clear" w:color="auto" w:fill="auto"/>
          </w:tcPr>
          <w:p w:rsidR="00CC6620" w:rsidRPr="00CC6620" w:rsidRDefault="00B94032" w:rsidP="00B94032">
            <w:r>
              <w:t>CMMI</w:t>
            </w:r>
            <w:r w:rsidR="00CC6620" w:rsidRPr="00CC6620">
              <w:t xml:space="preserve"> is a process improvement </w:t>
            </w:r>
            <w:r w:rsidR="00CC6620">
              <w:t>program</w:t>
            </w:r>
            <w:r w:rsidR="00CC6620" w:rsidRPr="00CC6620">
              <w:t xml:space="preserve"> </w:t>
            </w:r>
            <w:r w:rsidR="00CC6620">
              <w:t xml:space="preserve">that is required </w:t>
            </w:r>
            <w:r w:rsidR="00CC6620" w:rsidRPr="00CC6620">
              <w:t xml:space="preserve">by many DOD and Government programs for government contracts. </w:t>
            </w:r>
            <w:r w:rsidR="00CC6620">
              <w:t xml:space="preserve"> </w:t>
            </w:r>
            <w:r w:rsidR="00CC6620" w:rsidRPr="00CC6620">
              <w:t xml:space="preserve">Under the CMMI methodology, processes are rated according to their maturity levels, which are defined as: Initial, Repeatable, Defined, Quantitatively Managed, </w:t>
            </w:r>
            <w:r w:rsidR="00CC6620">
              <w:t xml:space="preserve">and </w:t>
            </w:r>
            <w:r w:rsidR="00CC6620" w:rsidRPr="00CC6620">
              <w:t>Optimizing.</w:t>
            </w:r>
          </w:p>
        </w:tc>
      </w:tr>
    </w:tbl>
    <w:p w:rsidR="0014452B" w:rsidRPr="0014452B" w:rsidRDefault="0014452B" w:rsidP="0014452B">
      <w:pPr>
        <w:pStyle w:val="BlockLine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14452B" w:rsidRPr="0014452B" w:rsidTr="0014452B">
        <w:tc>
          <w:tcPr>
            <w:tcW w:w="1728" w:type="dxa"/>
            <w:shd w:val="clear" w:color="auto" w:fill="auto"/>
          </w:tcPr>
          <w:p w:rsidR="0014452B" w:rsidRPr="0014452B" w:rsidRDefault="0014452B" w:rsidP="0014452B">
            <w:pPr>
              <w:pStyle w:val="Heading5"/>
            </w:pPr>
          </w:p>
        </w:tc>
        <w:tc>
          <w:tcPr>
            <w:tcW w:w="7740" w:type="dxa"/>
            <w:shd w:val="clear" w:color="auto" w:fill="auto"/>
          </w:tcPr>
          <w:p w:rsidR="0014452B" w:rsidRPr="0014452B" w:rsidRDefault="0014452B" w:rsidP="0014452B">
            <w:pPr>
              <w:pStyle w:val="BlockText"/>
            </w:pPr>
          </w:p>
        </w:tc>
      </w:tr>
    </w:tbl>
    <w:p w:rsidR="00774264" w:rsidRDefault="00774264" w:rsidP="0014452B">
      <w:pPr>
        <w:pStyle w:val="BlockLine"/>
      </w:pPr>
    </w:p>
    <w:p w:rsidR="00DA72A7" w:rsidRDefault="00DA72A7" w:rsidP="00A27772">
      <w:pPr>
        <w:jc w:val="center"/>
        <w:rPr>
          <w:noProof/>
        </w:rPr>
      </w:pPr>
    </w:p>
    <w:p w:rsidR="00DA72A7" w:rsidRDefault="00DA72A7" w:rsidP="00A27772">
      <w:pPr>
        <w:jc w:val="center"/>
      </w:pPr>
      <w:r>
        <w:rPr>
          <w:noProof/>
        </w:rPr>
        <w:lastRenderedPageBreak/>
        <w:drawing>
          <wp:inline distT="0" distB="0" distL="0" distR="0">
            <wp:extent cx="5334000" cy="3337560"/>
            <wp:effectExtent l="19050" t="0" r="0" b="0"/>
            <wp:docPr id="1" name="Picture 0" descr="it_governance_services_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_governance_services_img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A7" w:rsidRDefault="00DA72A7" w:rsidP="00A27772">
      <w:pPr>
        <w:jc w:val="center"/>
      </w:pPr>
    </w:p>
    <w:p w:rsidR="00DA72A7" w:rsidRDefault="00DA72A7" w:rsidP="00A27772">
      <w:pPr>
        <w:jc w:val="center"/>
      </w:pPr>
    </w:p>
    <w:p w:rsidR="00DA72A7" w:rsidRDefault="00DA72A7" w:rsidP="00A27772">
      <w:pPr>
        <w:jc w:val="center"/>
      </w:pPr>
    </w:p>
    <w:p w:rsidR="00DA72A7" w:rsidRDefault="00DA72A7" w:rsidP="00A27772">
      <w:pPr>
        <w:jc w:val="center"/>
      </w:pPr>
    </w:p>
    <w:p w:rsidR="00DA72A7" w:rsidRDefault="00DA72A7" w:rsidP="00A27772">
      <w:pPr>
        <w:jc w:val="center"/>
      </w:pPr>
    </w:p>
    <w:p w:rsidR="001C243B" w:rsidRDefault="001C243B" w:rsidP="00A27772">
      <w:pPr>
        <w:jc w:val="center"/>
      </w:pPr>
      <w:r w:rsidRPr="001C243B">
        <w:rPr>
          <w:noProof/>
        </w:rPr>
        <w:lastRenderedPageBreak/>
        <w:drawing>
          <wp:inline distT="0" distB="0" distL="0" distR="0">
            <wp:extent cx="4564380" cy="40462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A7" w:rsidRDefault="00DA72A7" w:rsidP="00A27772">
      <w:pPr>
        <w:jc w:val="center"/>
      </w:pPr>
    </w:p>
    <w:p w:rsidR="00DA72A7" w:rsidRPr="001C243B" w:rsidRDefault="00DA72A7" w:rsidP="00A27772">
      <w:pPr>
        <w:jc w:val="center"/>
      </w:pPr>
    </w:p>
    <w:p w:rsidR="001C243B" w:rsidRDefault="001C243B" w:rsidP="001C243B">
      <w:r>
        <w:rPr>
          <w:noProof/>
        </w:rPr>
        <w:lastRenderedPageBreak/>
        <w:drawing>
          <wp:inline distT="0" distB="0" distL="0" distR="0">
            <wp:extent cx="5943600" cy="4576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3B" w:rsidRDefault="001C243B" w:rsidP="001C243B"/>
    <w:p w:rsidR="001C243B" w:rsidRPr="001C243B" w:rsidRDefault="001C243B" w:rsidP="001C243B">
      <w:r>
        <w:rPr>
          <w:noProof/>
        </w:rPr>
        <w:lastRenderedPageBreak/>
        <w:drawing>
          <wp:inline distT="0" distB="0" distL="0" distR="0">
            <wp:extent cx="5943600" cy="39225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43B" w:rsidRPr="001C243B" w:rsidSect="00E23C52"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B0"/>
    <w:multiLevelType w:val="hybridMultilevel"/>
    <w:tmpl w:val="A86257A2"/>
    <w:lvl w:ilvl="0" w:tplc="C062E0CA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DB3D68"/>
    <w:multiLevelType w:val="hybridMultilevel"/>
    <w:tmpl w:val="5DCCF28C"/>
    <w:lvl w:ilvl="0" w:tplc="21D42084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7C2456"/>
    <w:multiLevelType w:val="hybridMultilevel"/>
    <w:tmpl w:val="3F4EFFAC"/>
    <w:lvl w:ilvl="0" w:tplc="443ADE8A">
      <w:start w:val="1"/>
      <w:numFmt w:val="bullet"/>
      <w:pStyle w:val="BulletText3"/>
      <w:lvlText w:val=""/>
      <w:lvlJc w:val="left"/>
      <w:pPr>
        <w:tabs>
          <w:tab w:val="num" w:pos="173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23C52"/>
    <w:rsid w:val="0014452B"/>
    <w:rsid w:val="001C243B"/>
    <w:rsid w:val="00470814"/>
    <w:rsid w:val="00476793"/>
    <w:rsid w:val="004D4C49"/>
    <w:rsid w:val="0065045F"/>
    <w:rsid w:val="00675385"/>
    <w:rsid w:val="006D1540"/>
    <w:rsid w:val="007716E2"/>
    <w:rsid w:val="00774264"/>
    <w:rsid w:val="0082517E"/>
    <w:rsid w:val="0084431B"/>
    <w:rsid w:val="009C41B0"/>
    <w:rsid w:val="009E19B4"/>
    <w:rsid w:val="00A27772"/>
    <w:rsid w:val="00B3794C"/>
    <w:rsid w:val="00B94032"/>
    <w:rsid w:val="00BE7C83"/>
    <w:rsid w:val="00CC6620"/>
    <w:rsid w:val="00DA72A7"/>
    <w:rsid w:val="00E23C52"/>
    <w:rsid w:val="00F4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3C52"/>
    <w:rPr>
      <w:color w:val="000000"/>
      <w:sz w:val="24"/>
      <w:szCs w:val="24"/>
    </w:rPr>
  </w:style>
  <w:style w:type="paragraph" w:styleId="Heading1">
    <w:name w:val="heading 1"/>
    <w:aliases w:val="Part Title"/>
    <w:basedOn w:val="Normal"/>
    <w:next w:val="Heading4"/>
    <w:qFormat/>
    <w:rsid w:val="00E23C52"/>
    <w:pPr>
      <w:spacing w:after="240"/>
      <w:jc w:val="center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E23C52"/>
    <w:pPr>
      <w:spacing w:after="240"/>
      <w:jc w:val="center"/>
      <w:outlineLvl w:val="1"/>
    </w:pPr>
    <w:rPr>
      <w:rFonts w:ascii="Arial" w:hAnsi="Arial" w:cs="Arial"/>
      <w:b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E23C52"/>
    <w:pPr>
      <w:spacing w:after="240"/>
      <w:jc w:val="center"/>
      <w:outlineLvl w:val="2"/>
    </w:pPr>
    <w:rPr>
      <w:rFonts w:ascii="Arial" w:hAnsi="Arial" w:cs="Arial"/>
      <w:b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E23C52"/>
    <w:pPr>
      <w:spacing w:after="240"/>
      <w:outlineLvl w:val="3"/>
    </w:pPr>
    <w:rPr>
      <w:rFonts w:ascii="Arial" w:hAnsi="Arial" w:cs="Arial"/>
      <w:b/>
      <w:sz w:val="32"/>
      <w:szCs w:val="20"/>
    </w:rPr>
  </w:style>
  <w:style w:type="paragraph" w:styleId="Heading5">
    <w:name w:val="heading 5"/>
    <w:aliases w:val="Block Label"/>
    <w:basedOn w:val="Normal"/>
    <w:qFormat/>
    <w:rsid w:val="00E23C52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E23C52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E23C52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styleId="BlockText">
    <w:name w:val="Block Text"/>
    <w:basedOn w:val="Normal"/>
    <w:rsid w:val="00E23C52"/>
  </w:style>
  <w:style w:type="paragraph" w:customStyle="1" w:styleId="BulletText1">
    <w:name w:val="Bullet Text 1"/>
    <w:basedOn w:val="Normal"/>
    <w:rsid w:val="00E23C52"/>
    <w:pPr>
      <w:numPr>
        <w:numId w:val="1"/>
      </w:numPr>
    </w:pPr>
    <w:rPr>
      <w:szCs w:val="20"/>
    </w:rPr>
  </w:style>
  <w:style w:type="paragraph" w:customStyle="1" w:styleId="BulletText2">
    <w:name w:val="Bullet Text 2"/>
    <w:basedOn w:val="Normal"/>
    <w:rsid w:val="00E23C52"/>
    <w:pPr>
      <w:numPr>
        <w:numId w:val="2"/>
      </w:numPr>
    </w:pPr>
    <w:rPr>
      <w:szCs w:val="20"/>
    </w:rPr>
  </w:style>
  <w:style w:type="paragraph" w:customStyle="1" w:styleId="BulletText3">
    <w:name w:val="Bullet Text 3"/>
    <w:basedOn w:val="Normal"/>
    <w:rsid w:val="00E23C52"/>
    <w:pPr>
      <w:numPr>
        <w:numId w:val="3"/>
      </w:numPr>
    </w:pPr>
  </w:style>
  <w:style w:type="paragraph" w:customStyle="1" w:styleId="ContinuedBlockLabel">
    <w:name w:val="Continued Block Label"/>
    <w:basedOn w:val="Normal"/>
    <w:next w:val="Normal"/>
    <w:rsid w:val="00E23C52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E23C52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E23C52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E23C52"/>
    <w:rPr>
      <w:szCs w:val="20"/>
    </w:rPr>
  </w:style>
  <w:style w:type="character" w:styleId="HTMLAcronym">
    <w:name w:val="HTML Acronym"/>
    <w:basedOn w:val="DefaultParagraphFont"/>
    <w:rsid w:val="00F4087F"/>
  </w:style>
  <w:style w:type="paragraph" w:customStyle="1" w:styleId="IMTOC">
    <w:name w:val="IMTOC"/>
    <w:rsid w:val="00F4087F"/>
    <w:rPr>
      <w:sz w:val="24"/>
    </w:rPr>
  </w:style>
  <w:style w:type="paragraph" w:customStyle="1" w:styleId="MapTitleContinued">
    <w:name w:val="Map Title. Continued"/>
    <w:basedOn w:val="Normal"/>
    <w:next w:val="Normal"/>
    <w:rsid w:val="00E23C52"/>
    <w:pPr>
      <w:spacing w:after="240"/>
    </w:pPr>
    <w:rPr>
      <w:rFonts w:ascii="Arial" w:hAnsi="Arial" w:cs="Arial"/>
      <w:b/>
      <w:sz w:val="32"/>
      <w:szCs w:val="20"/>
    </w:rPr>
  </w:style>
  <w:style w:type="paragraph" w:customStyle="1" w:styleId="MemoLine">
    <w:name w:val="Memo Line"/>
    <w:basedOn w:val="BlockLine"/>
    <w:next w:val="Normal"/>
    <w:rsid w:val="00E23C52"/>
    <w:pPr>
      <w:ind w:left="0"/>
    </w:pPr>
  </w:style>
  <w:style w:type="paragraph" w:customStyle="1" w:styleId="NoteText">
    <w:name w:val="Note Text"/>
    <w:basedOn w:val="Normal"/>
    <w:rsid w:val="00E23C52"/>
    <w:rPr>
      <w:szCs w:val="20"/>
    </w:rPr>
  </w:style>
  <w:style w:type="paragraph" w:customStyle="1" w:styleId="PublicationTitle">
    <w:name w:val="Publication Title"/>
    <w:basedOn w:val="Normal"/>
    <w:next w:val="Heading4"/>
    <w:rsid w:val="00E23C52"/>
    <w:pPr>
      <w:spacing w:after="240"/>
      <w:jc w:val="center"/>
    </w:pPr>
    <w:rPr>
      <w:rFonts w:ascii="Arial" w:hAnsi="Arial" w:cs="Arial"/>
      <w:b/>
      <w:sz w:val="32"/>
      <w:szCs w:val="20"/>
    </w:rPr>
  </w:style>
  <w:style w:type="paragraph" w:customStyle="1" w:styleId="TableHeaderText">
    <w:name w:val="Table Header Text"/>
    <w:basedOn w:val="Normal"/>
    <w:rsid w:val="00E23C52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E23C52"/>
    <w:rPr>
      <w:szCs w:val="20"/>
    </w:rPr>
  </w:style>
  <w:style w:type="paragraph" w:customStyle="1" w:styleId="TOCTitle">
    <w:name w:val="TOC Title"/>
    <w:basedOn w:val="Normal"/>
    <w:rsid w:val="00E23C52"/>
    <w:pPr>
      <w:widowControl w:val="0"/>
    </w:pPr>
    <w:rPr>
      <w:rFonts w:ascii="Arial" w:hAnsi="Arial" w:cs="Arial"/>
      <w:b/>
      <w:sz w:val="32"/>
      <w:szCs w:val="20"/>
    </w:rPr>
  </w:style>
  <w:style w:type="paragraph" w:customStyle="1" w:styleId="TOCItem">
    <w:name w:val="TOCItem"/>
    <w:basedOn w:val="Normal"/>
    <w:rsid w:val="00F4087F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F4087F"/>
    <w:rPr>
      <w:szCs w:val="20"/>
    </w:rPr>
  </w:style>
  <w:style w:type="paragraph" w:styleId="BalloonText">
    <w:name w:val="Balloon Text"/>
    <w:basedOn w:val="Normal"/>
    <w:link w:val="BalloonTextChar"/>
    <w:rsid w:val="00144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452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FSPro.dot</Template>
  <TotalTime>139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Washington Department of Revenue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jrgts140</dc:creator>
  <cp:lastModifiedBy>jrgts140</cp:lastModifiedBy>
  <cp:revision>19</cp:revision>
  <cp:lastPrinted>2013-06-26T20:25:00Z</cp:lastPrinted>
  <dcterms:created xsi:type="dcterms:W3CDTF">2013-06-24T18:53:00Z</dcterms:created>
  <dcterms:modified xsi:type="dcterms:W3CDTF">2013-06-26T20:26:00Z</dcterms:modified>
</cp:coreProperties>
</file>