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53" w:rsidRDefault="00452653">
      <w:r>
        <w:tab/>
        <w:t>O modelo de ciclo de vida escolhido foi o espiral, pois ele apresenta características mais flexíveis como o chefe da empresa deseja. Nesse modelo apenas o inicio é definido, a evolução e amadurecimento dos requisitos (incluindo custos) demandam um tempo ajustável, ou seja, abre-se uma possiblidade quanto a mudança no escopo da equipe e uma possível entrega de algum recurso que possa ser usado logo no inicio.</w:t>
      </w:r>
      <w:bookmarkStart w:id="0" w:name="_GoBack"/>
      <w:bookmarkEnd w:id="0"/>
    </w:p>
    <w:sectPr w:rsidR="0045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53"/>
    <w:rsid w:val="004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76CE"/>
  <w15:chartTrackingRefBased/>
  <w15:docId w15:val="{1865C4C3-F446-47AD-90DE-68A86F00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Guilherme de Castro</dc:creator>
  <cp:keywords/>
  <dc:description/>
  <cp:lastModifiedBy>Caio Guilherme de Castro</cp:lastModifiedBy>
  <cp:revision>1</cp:revision>
  <dcterms:created xsi:type="dcterms:W3CDTF">2020-04-14T11:47:00Z</dcterms:created>
  <dcterms:modified xsi:type="dcterms:W3CDTF">2020-04-14T11:55:00Z</dcterms:modified>
</cp:coreProperties>
</file>