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525FE" w14:textId="7D80A8E8" w:rsidR="00E56797" w:rsidRPr="00C46799" w:rsidRDefault="00C46799" w:rsidP="00C46799">
      <w:pPr>
        <w:jc w:val="center"/>
        <w:rPr>
          <w:sz w:val="46"/>
          <w:szCs w:val="46"/>
          <w:lang w:val="es-PE"/>
        </w:rPr>
      </w:pPr>
      <w:r w:rsidRPr="00C46799">
        <w:rPr>
          <w:sz w:val="46"/>
          <w:szCs w:val="46"/>
          <w:lang w:val="es-PE"/>
        </w:rPr>
        <w:t>TODI STORE</w:t>
      </w:r>
    </w:p>
    <w:p w14:paraId="57EF3C2A" w14:textId="4BDCD21A" w:rsidR="00E56797" w:rsidRPr="000B27E9" w:rsidRDefault="00C46799" w:rsidP="00C574AE">
      <w:pPr>
        <w:spacing w:before="2160" w:after="3720"/>
        <w:ind w:left="567" w:right="567"/>
        <w:jc w:val="center"/>
        <w:rPr>
          <w:rFonts w:ascii="Lucida Sans" w:eastAsia="Lucida Sans" w:hAnsi="Lucida Sans" w:cs="Lucida Sans"/>
          <w:b/>
          <w:color w:val="131930"/>
          <w:sz w:val="40"/>
          <w:szCs w:val="40"/>
          <w:lang w:val="es-PE"/>
        </w:rPr>
      </w:pPr>
      <w:r>
        <w:rPr>
          <w:noProof/>
          <w:sz w:val="36"/>
          <w:szCs w:val="36"/>
        </w:rPr>
        <w:drawing>
          <wp:anchor distT="0" distB="0" distL="114300" distR="114300" simplePos="0" relativeHeight="251660288" behindDoc="0" locked="0" layoutInCell="1" allowOverlap="1" wp14:anchorId="29423220" wp14:editId="3F955C6D">
            <wp:simplePos x="0" y="0"/>
            <wp:positionH relativeFrom="column">
              <wp:posOffset>2905125</wp:posOffset>
            </wp:positionH>
            <wp:positionV relativeFrom="paragraph">
              <wp:posOffset>179070</wp:posOffset>
            </wp:positionV>
            <wp:extent cx="869315" cy="554355"/>
            <wp:effectExtent l="0" t="0" r="6985"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869315" cy="554355"/>
                    </a:xfrm>
                    <a:prstGeom prst="rect">
                      <a:avLst/>
                    </a:prstGeom>
                    <a:ln/>
                  </pic:spPr>
                </pic:pic>
              </a:graphicData>
            </a:graphic>
            <wp14:sizeRelH relativeFrom="margin">
              <wp14:pctWidth>0</wp14:pctWidth>
            </wp14:sizeRelH>
            <wp14:sizeRelV relativeFrom="margin">
              <wp14:pctHeight>0</wp14:pctHeight>
            </wp14:sizeRelV>
          </wp:anchor>
        </w:drawing>
      </w:r>
      <w:r w:rsidR="00E56797"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00E56797" w:rsidRPr="000B27E9">
        <w:rPr>
          <w:rFonts w:ascii="Lucida Sans" w:eastAsia="Lucida Sans" w:hAnsi="Lucida Sans" w:cs="Lucida Sans"/>
          <w:b/>
          <w:color w:val="131930"/>
          <w:sz w:val="40"/>
          <w:szCs w:val="40"/>
          <w:lang w:val="es-PE"/>
        </w:rPr>
        <w:t xml:space="preserve"> DE SOFTWARE PARA </w:t>
      </w:r>
      <w:r w:rsidRPr="00C46799">
        <w:rPr>
          <w:rFonts w:ascii="Lucida Sans" w:eastAsia="Lucida Sans" w:hAnsi="Lucida Sans" w:cs="Lucida Sans"/>
          <w:b/>
          <w:color w:val="131930"/>
          <w:sz w:val="40"/>
          <w:szCs w:val="40"/>
          <w:lang w:val="es-PE"/>
        </w:rPr>
        <w:t>EL DASHBOARD DE SEGUIMIENTO DE ESTUDIOS DE VIDEOJUEGOS INDEPENDIENTES (DSEVI)</w:t>
      </w:r>
      <w:r w:rsidRPr="00C46799">
        <w:rPr>
          <w:sz w:val="36"/>
          <w:szCs w:val="36"/>
          <w:lang w:val="es-PE"/>
        </w:rPr>
        <w:t xml:space="preserve"> </w:t>
      </w:r>
      <w:r w:rsidR="00E56797" w:rsidRPr="000B27E9">
        <w:rPr>
          <w:rFonts w:ascii="Lucida Sans" w:eastAsia="Lucida Sans" w:hAnsi="Lucida Sans" w:cs="Lucida Sans"/>
          <w:b/>
          <w:color w:val="131930"/>
          <w:sz w:val="40"/>
          <w:szCs w:val="40"/>
          <w:lang w:val="es-PE"/>
        </w:rPr>
        <w:t xml:space="preserve"> </w:t>
      </w:r>
    </w:p>
    <w:p w14:paraId="0FE40E9F" w14:textId="0B9357AA" w:rsidR="00E56797" w:rsidRPr="00C46799" w:rsidRDefault="00E56797" w:rsidP="00E56797">
      <w:pPr>
        <w:spacing w:before="1200"/>
        <w:jc w:val="center"/>
        <w:rPr>
          <w:rFonts w:ascii="Open Sans" w:eastAsia="Open Sans" w:hAnsi="Open Sans" w:cs="Open Sans"/>
          <w:lang w:val="es-PE"/>
        </w:rPr>
      </w:pPr>
    </w:p>
    <w:p w14:paraId="4CCFD924" w14:textId="2E96CBE8" w:rsidR="00B107F6" w:rsidRPr="00C46799" w:rsidRDefault="00C46799" w:rsidP="00B107F6">
      <w:pPr>
        <w:spacing w:before="1200"/>
        <w:rPr>
          <w:rFonts w:ascii="Open Sans" w:eastAsia="Open Sans" w:hAnsi="Open Sans" w:cs="Open Sans"/>
          <w:lang w:val="es-PE"/>
        </w:rPr>
      </w:pPr>
      <w:r>
        <w:rPr>
          <w:noProof/>
        </w:rPr>
        <w:drawing>
          <wp:anchor distT="114300" distB="114300" distL="114300" distR="114300" simplePos="0" relativeHeight="251659264" behindDoc="0" locked="0" layoutInCell="1" hidden="0" allowOverlap="1" wp14:anchorId="4395C465" wp14:editId="31F3CD4D">
            <wp:simplePos x="0" y="0"/>
            <wp:positionH relativeFrom="column">
              <wp:posOffset>2647950</wp:posOffset>
            </wp:positionH>
            <wp:positionV relativeFrom="paragraph">
              <wp:posOffset>1622425</wp:posOffset>
            </wp:positionV>
            <wp:extent cx="1445895" cy="1431925"/>
            <wp:effectExtent l="0" t="0" r="0" b="0"/>
            <wp:wrapSquare wrapText="bothSides" distT="114300" distB="114300" distL="114300" distR="11430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45895" cy="1431925"/>
                    </a:xfrm>
                    <a:prstGeom prst="rect">
                      <a:avLst/>
                    </a:prstGeom>
                    <a:ln/>
                  </pic:spPr>
                </pic:pic>
              </a:graphicData>
            </a:graphic>
            <wp14:sizeRelH relativeFrom="margin">
              <wp14:pctWidth>0</wp14:pctWidth>
            </wp14:sizeRelH>
            <wp14:sizeRelV relativeFrom="margin">
              <wp14:pctHeight>0</wp14:pctHeight>
            </wp14:sizeRelV>
          </wp:anchor>
        </w:drawing>
      </w:r>
    </w:p>
    <w:p w14:paraId="20BC7DEE" w14:textId="77777777" w:rsidR="00B107F6" w:rsidRPr="00C46799" w:rsidRDefault="00B107F6" w:rsidP="00E56797">
      <w:pPr>
        <w:rPr>
          <w:rFonts w:ascii="Open Sans" w:eastAsia="Open Sans" w:hAnsi="Open Sans" w:cs="Open Sans"/>
          <w:lang w:val="es-PE"/>
        </w:rPr>
        <w:sectPr w:rsidR="00B107F6" w:rsidRPr="00C46799"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4B1A9CC1"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w:t>
            </w:r>
            <w:r w:rsidR="00C46799">
              <w:rPr>
                <w:rFonts w:ascii="Open Sans" w:eastAsia="Open Sans" w:hAnsi="Open Sans" w:cs="Open Sans"/>
                <w:color w:val="131930"/>
                <w:sz w:val="24"/>
                <w:szCs w:val="24"/>
                <w:lang w:val="es-MX"/>
              </w:rPr>
              <w:t>12</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bl>
    <w:p w14:paraId="42D9B9B7" w14:textId="77777777" w:rsidR="00E56797" w:rsidRPr="00D52434" w:rsidRDefault="00E56797" w:rsidP="00576E93">
      <w:pPr>
        <w:spacing w:after="240"/>
        <w:rPr>
          <w:rFonts w:ascii="Open Sans" w:eastAsia="Open Sans" w:hAnsi="Open Sans" w:cs="Open Sans"/>
          <w:color w:val="131930"/>
          <w:lang w:val="es-PE"/>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00995249" w:rsidR="00E56797" w:rsidRPr="00E21EBB" w:rsidRDefault="00C46799"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t>Calderón Bermudo</w:t>
            </w:r>
          </w:p>
        </w:tc>
        <w:tc>
          <w:tcPr>
            <w:tcW w:w="3685" w:type="dxa"/>
            <w:vAlign w:val="center"/>
          </w:tcPr>
          <w:p w14:paraId="04227BA7" w14:textId="0D1D084E" w:rsidR="00E56797" w:rsidRPr="00E21EBB" w:rsidRDefault="00C46799"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t>Villacis</w:t>
            </w:r>
            <w:proofErr w:type="spellEnd"/>
            <w:r>
              <w:t xml:space="preserve"> </w:t>
            </w:r>
            <w:proofErr w:type="spellStart"/>
            <w:r>
              <w:t>Alvear</w:t>
            </w:r>
            <w:proofErr w:type="spellEnd"/>
          </w:p>
        </w:tc>
        <w:tc>
          <w:tcPr>
            <w:tcW w:w="3544" w:type="dxa"/>
            <w:vAlign w:val="center"/>
          </w:tcPr>
          <w:p w14:paraId="39EE56B6" w14:textId="0D0ECCED" w:rsidR="00E56797" w:rsidRPr="00E21EBB" w:rsidRDefault="00C46799"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t xml:space="preserve">Torres </w:t>
            </w:r>
            <w:proofErr w:type="spellStart"/>
            <w:r>
              <w:t>Domenack</w:t>
            </w:r>
            <w:proofErr w:type="spellEnd"/>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3F17464A"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 xml:space="preserve">PROYECTO </w:t>
      </w:r>
      <w:r w:rsidR="00C46799">
        <w:rPr>
          <w:rFonts w:ascii="Open Sans" w:hAnsi="Open Sans" w:cs="Open Sans"/>
          <w:b/>
          <w:bCs/>
          <w:sz w:val="32"/>
          <w:szCs w:val="32"/>
          <w:lang w:val="es"/>
        </w:rPr>
        <w:t>DSEVI</w:t>
      </w:r>
    </w:p>
    <w:p w14:paraId="6D41F729" w14:textId="308F289C" w:rsidR="004460D4" w:rsidRPr="00E748F3" w:rsidRDefault="00A54DC0" w:rsidP="00361567">
      <w:pPr>
        <w:pStyle w:val="Estilo1"/>
      </w:pPr>
      <w:r w:rsidRPr="00361567">
        <w:t>Introducción</w:t>
      </w:r>
    </w:p>
    <w:p w14:paraId="2C208FCE" w14:textId="4F153502"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 xml:space="preserve">El cliente </w:t>
      </w:r>
      <w:r w:rsidR="00C46799">
        <w:rPr>
          <w:rFonts w:ascii="Open Sans" w:hAnsi="Open Sans" w:cs="Open Sans"/>
          <w:sz w:val="24"/>
          <w:szCs w:val="24"/>
          <w:lang w:val="es"/>
        </w:rPr>
        <w:t>Todi Store</w:t>
      </w:r>
      <w:r w:rsidRPr="00E748F3">
        <w:rPr>
          <w:rFonts w:ascii="Open Sans" w:hAnsi="Open Sans" w:cs="Open Sans"/>
          <w:sz w:val="24"/>
          <w:szCs w:val="24"/>
          <w:lang w:val="es"/>
        </w:rPr>
        <w:t xml:space="preserve"> requiere un sitio web confiable, que pase todas las pruebas unitarias y de integración. Ya que cuenta con una pasarela de pagos y un módulo del para el registro de usuarios.</w:t>
      </w:r>
    </w:p>
    <w:p w14:paraId="0D7DD2B2" w14:textId="49C85BA3"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 xml:space="preserve">El Plan de Pruebas ha sido creado para facilitar la comunicación dentro de los miembros del equipo. Este documento describe los enfoques y metodologías que se aplicarán a la unidad, la integración y las pruebas del Sistema de Comercio Electrónico </w:t>
      </w:r>
      <w:r w:rsidR="00C46799">
        <w:rPr>
          <w:rFonts w:ascii="Open Sans" w:hAnsi="Open Sans" w:cs="Open Sans"/>
          <w:sz w:val="24"/>
          <w:szCs w:val="24"/>
          <w:lang w:val="es"/>
        </w:rPr>
        <w:t>Todi Store</w:t>
      </w:r>
      <w:r w:rsidRPr="00E748F3">
        <w:rPr>
          <w:rFonts w:ascii="Open Sans" w:hAnsi="Open Sans" w:cs="Open Sans"/>
          <w:sz w:val="24"/>
          <w:szCs w:val="24"/>
          <w:lang w:val="es"/>
        </w:rPr>
        <w:t>.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553976AE"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 xml:space="preserve">El propósito de este documento es proporcionar la información y el marco requerido para planificar y desarrollar las actividades del proceso de pruebas del Sistema de Comercio Electrónico </w:t>
      </w:r>
      <w:r w:rsidR="00C46799">
        <w:rPr>
          <w:rFonts w:ascii="Open Sans" w:hAnsi="Open Sans" w:cs="Open Sans"/>
          <w:sz w:val="24"/>
          <w:szCs w:val="24"/>
          <w:lang w:val="es"/>
        </w:rPr>
        <w:t>Todi</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lastRenderedPageBreak/>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Backlog.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Backlog,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lastRenderedPageBreak/>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38F34905" w:rsidR="00895434" w:rsidRPr="00895434" w:rsidRDefault="00815F65" w:rsidP="00895434">
      <w:pPr>
        <w:pStyle w:val="Estilo1"/>
      </w:pPr>
      <w:r>
        <w:t>criterios de entrada y salida</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lastRenderedPageBreak/>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Backlog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casos de prueba basados en las pruebas 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la matriz de prueba que asigna los casos de prueba al requisito respectivo. Esto asegurará la cobertura de las </w:t>
      </w:r>
      <w:r w:rsidRPr="00C818A3">
        <w:rPr>
          <w:rFonts w:ascii="Open Sans" w:hAnsi="Open Sans" w:cs="Open Sans"/>
          <w:sz w:val="24"/>
          <w:szCs w:val="24"/>
          <w:lang w:val="es"/>
        </w:rPr>
        <w:lastRenderedPageBreak/>
        <w:t>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lastRenderedPageBreak/>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 xml:space="preserve">Se examinan las interfaces entre grupos de componentes o subsistemas para </w:t>
      </w:r>
      <w:r w:rsidRPr="00C81601">
        <w:rPr>
          <w:rFonts w:ascii="Open Sans" w:hAnsi="Open Sans" w:cs="Open Sans"/>
          <w:sz w:val="24"/>
          <w:szCs w:val="24"/>
          <w:lang w:val="es"/>
        </w:rPr>
        <w:lastRenderedPageBreak/>
        <w:t>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8"/>
        <w:gridCol w:w="1687"/>
        <w:gridCol w:w="6535"/>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C46799"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C46799"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C46799"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lastRenderedPageBreak/>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C46799"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80"/>
        <w:gridCol w:w="5566"/>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C46799"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C46799"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C46799"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C46799"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r w:rsidRPr="003B4351">
        <w:rPr>
          <w:rFonts w:ascii="Open Sans" w:hAnsi="Open Sans" w:cs="Open Sans"/>
          <w:sz w:val="24"/>
          <w:szCs w:val="24"/>
          <w:lang w:val="es-PE"/>
        </w:rPr>
        <w:t>SonarQube: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 xml:space="preserve">Facilita informes ofreciendo información objetiva de la calidad actual de los proyectos utilizando métricas y gráficos de prueba de calidad avanzados. Esto </w:t>
      </w:r>
      <w:r w:rsidRPr="00394E6B">
        <w:rPr>
          <w:rFonts w:ascii="Open Sans" w:hAnsi="Open Sans" w:cs="Open Sans"/>
          <w:sz w:val="24"/>
          <w:szCs w:val="24"/>
          <w:lang w:val="es-PE"/>
        </w:rPr>
        <w:lastRenderedPageBreak/>
        <w:t>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Intel® Core™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4B8C4" w14:textId="77777777" w:rsidR="0080438B" w:rsidRDefault="0080438B">
      <w:r>
        <w:rPr>
          <w:lang w:val="es"/>
        </w:rPr>
        <w:separator/>
      </w:r>
    </w:p>
  </w:endnote>
  <w:endnote w:type="continuationSeparator" w:id="0">
    <w:p w14:paraId="3FA6E7F9" w14:textId="77777777" w:rsidR="0080438B" w:rsidRDefault="0080438B">
      <w:r>
        <w:rPr>
          <w:lang w:val="es"/>
        </w:rPr>
        <w:continuationSeparator/>
      </w:r>
    </w:p>
  </w:endnote>
  <w:endnote w:type="continuationNotice" w:id="1">
    <w:p w14:paraId="7BF2A175" w14:textId="77777777" w:rsidR="0080438B" w:rsidRDefault="008043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F5600" w14:textId="77777777" w:rsidR="0080438B" w:rsidRDefault="0080438B">
      <w:r>
        <w:rPr>
          <w:lang w:val="es"/>
        </w:rPr>
        <w:separator/>
      </w:r>
    </w:p>
  </w:footnote>
  <w:footnote w:type="continuationSeparator" w:id="0">
    <w:p w14:paraId="372A1C4D" w14:textId="77777777" w:rsidR="0080438B" w:rsidRDefault="0080438B">
      <w:r>
        <w:rPr>
          <w:lang w:val="es"/>
        </w:rPr>
        <w:continuationSeparator/>
      </w:r>
    </w:p>
  </w:footnote>
  <w:footnote w:type="continuationNotice" w:id="1">
    <w:p w14:paraId="58CFBA44" w14:textId="77777777" w:rsidR="0080438B" w:rsidRDefault="008043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15:restartNumberingAfterBreak="0">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15:restartNumberingAfterBreak="0">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15:restartNumberingAfterBreak="0">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15:restartNumberingAfterBreak="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15:restartNumberingAfterBreak="0">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15:restartNumberingAfterBreak="0">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15:restartNumberingAfterBreak="0">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15:restartNumberingAfterBreak="0">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15:restartNumberingAfterBreak="0">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15:restartNumberingAfterBreak="0">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15:restartNumberingAfterBreak="0">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15:restartNumberingAfterBreak="0">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15:restartNumberingAfterBreak="0">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36274"/>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920"/>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0438B"/>
    <w:rsid w:val="00812D8D"/>
    <w:rsid w:val="008135DC"/>
    <w:rsid w:val="00815C74"/>
    <w:rsid w:val="00815F65"/>
    <w:rsid w:val="0082226A"/>
    <w:rsid w:val="008235AD"/>
    <w:rsid w:val="008337C2"/>
    <w:rsid w:val="00840335"/>
    <w:rsid w:val="008518AC"/>
    <w:rsid w:val="00856573"/>
    <w:rsid w:val="008576D9"/>
    <w:rsid w:val="008617CF"/>
    <w:rsid w:val="008663D3"/>
    <w:rsid w:val="008722EC"/>
    <w:rsid w:val="0088284E"/>
    <w:rsid w:val="00884C9C"/>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24C"/>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46799"/>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52434"/>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53A7"/>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4.xml><?xml version="1.0" encoding="utf-8"?>
<ds:datastoreItem xmlns:ds="http://schemas.openxmlformats.org/officeDocument/2006/customXml" ds:itemID="{924D2CC6-5BC6-424E-AE3D-B1E19D15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1851</Words>
  <Characters>10182</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Paulo C�sar Calder�n Bermudo</cp:lastModifiedBy>
  <cp:revision>11</cp:revision>
  <dcterms:created xsi:type="dcterms:W3CDTF">2022-07-26T15:50:00Z</dcterms:created>
  <dcterms:modified xsi:type="dcterms:W3CDTF">2022-12-21T02:35:00Z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