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3979"/>
        <w:gridCol w:w="4018"/>
      </w:tblGrid>
      <w:tr w14:paraId="66DCE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3" w:type="dxa"/>
          </w:tcPr>
          <w:p w14:paraId="0123AE57">
            <w:pPr>
              <w:widowControl w:val="0"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-158115</wp:posOffset>
                  </wp:positionV>
                  <wp:extent cx="1114425" cy="1076325"/>
                  <wp:effectExtent l="0" t="0" r="0" b="0"/>
                  <wp:wrapSquare wrapText="bothSides"/>
                  <wp:docPr id="66" name="Рисунок 2" descr="лого для документов 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Рисунок 2" descr="лого для документов 2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97" w:type="dxa"/>
            <w:gridSpan w:val="2"/>
          </w:tcPr>
          <w:p w14:paraId="37AE46BC">
            <w:pPr>
              <w:ind w:left="96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</w:rPr>
              <w:t>Федеральное агентство по рыболовству</w:t>
            </w:r>
          </w:p>
          <w:p w14:paraId="53C24018">
            <w:pPr>
              <w:ind w:left="96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</w:rPr>
              <w:t>Федеральное государственное бюджетное образовательное</w:t>
            </w:r>
          </w:p>
          <w:p w14:paraId="5B249805">
            <w:pPr>
              <w:ind w:left="96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</w:rPr>
              <w:t>учреждение высшего образования</w:t>
            </w:r>
          </w:p>
          <w:p w14:paraId="72A95CDE">
            <w:pPr>
              <w:ind w:left="96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</w:rPr>
              <w:t>«Астраханский государственный технический университет»</w:t>
            </w:r>
          </w:p>
          <w:p w14:paraId="37593827">
            <w:pPr>
              <w:shd w:val="clear" w:color="auto" w:fill="FFFFFF"/>
              <w:ind w:left="96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Система менеджмента качества в области образования, воспитания, науки и инноваций сертифицирована </w:t>
            </w:r>
          </w:p>
          <w:p w14:paraId="54C93EE3">
            <w:pPr>
              <w:shd w:val="clear" w:color="auto" w:fill="FFFFFF"/>
              <w:ind w:left="96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>
              <w:rPr>
                <w:rFonts w:ascii="Times New Roman" w:hAnsi="Times New Roman"/>
                <w:b/>
                <w:sz w:val="12"/>
                <w:szCs w:val="12"/>
              </w:rPr>
              <w:t>ООО «ДКС РУС» по международному стандарту ISO 9001:2015</w:t>
            </w:r>
          </w:p>
          <w:p w14:paraId="244AB326">
            <w:pPr>
              <w:widowControl w:val="0"/>
              <w:ind w:left="96" w:firstLine="116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  <w:p w14:paraId="2DFE7326">
            <w:pPr>
              <w:widowControl w:val="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14:paraId="0AE6C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5" w:hRule="exact"/>
        </w:trPr>
        <w:tc>
          <w:tcPr>
            <w:tcW w:w="9920" w:type="dxa"/>
            <w:gridSpan w:val="3"/>
          </w:tcPr>
          <w:p w14:paraId="6702CED9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</w:p>
          <w:p w14:paraId="47535E13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Институт информационных технологий и коммуникаций</w:t>
            </w:r>
          </w:p>
          <w:p w14:paraId="77DE56DB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Направление подготовки 09.03.01 «Информатика и вычислительная техника»</w:t>
            </w:r>
          </w:p>
          <w:p w14:paraId="127D3ADF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Профиль «Искусственный интеллект, робототехника и сенсорика»</w:t>
            </w:r>
          </w:p>
          <w:p w14:paraId="4CD66BFD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Кафедра «Автоматизированные системы обработки информации и управления»</w:t>
            </w:r>
          </w:p>
          <w:p w14:paraId="1DF8A638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</w:p>
          <w:p w14:paraId="3DB2F11E">
            <w:pPr>
              <w:rPr>
                <w:rFonts w:ascii="Times New Roman" w:hAnsi="Times New Roman"/>
                <w:sz w:val="24"/>
              </w:rPr>
            </w:pPr>
          </w:p>
          <w:p w14:paraId="717FAE1E">
            <w:pPr>
              <w:tabs>
                <w:tab w:val="left" w:pos="3492"/>
              </w:tabs>
              <w:rPr>
                <w:rFonts w:ascii="Times New Roman" w:hAnsi="Times New Roman"/>
                <w:sz w:val="24"/>
              </w:rPr>
            </w:pPr>
          </w:p>
        </w:tc>
      </w:tr>
      <w:tr w14:paraId="42D3A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0" w:hRule="exact"/>
        </w:trPr>
        <w:tc>
          <w:tcPr>
            <w:tcW w:w="9920" w:type="dxa"/>
            <w:gridSpan w:val="3"/>
            <w:vAlign w:val="center"/>
          </w:tcPr>
          <w:p w14:paraId="70A03F77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КУРСОВОЙ ПРОЕКТ</w:t>
            </w:r>
          </w:p>
          <w:p w14:paraId="69F56856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40"/>
              </w:rPr>
              <w:t>Моделирование и симуляция робота-манипулятора,</w:t>
            </w:r>
          </w:p>
          <w:p w14:paraId="10BFC4EE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28"/>
                <w:szCs w:val="32"/>
              </w:rPr>
              <w:t>выполняющего задачу сортировки объектов по цвету</w:t>
            </w:r>
          </w:p>
          <w:p w14:paraId="43A17C35">
            <w:pPr>
              <w:widowControl w:val="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по дисциплине «Моделирование роботов»</w:t>
            </w:r>
          </w:p>
          <w:p w14:paraId="291B4097">
            <w:pPr>
              <w:widowControl w:val="0"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14:paraId="45654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1" w:hRule="exact"/>
        </w:trPr>
        <w:tc>
          <w:tcPr>
            <w:tcW w:w="5902" w:type="dxa"/>
            <w:gridSpan w:val="2"/>
          </w:tcPr>
          <w:p w14:paraId="2774D079">
            <w:pPr>
              <w:widowControl w:val="0"/>
              <w:spacing w:after="10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Допущен к защите </w:t>
              <w:br/>
              <w:t>«___» ______________20___г.</w:t>
            </w:r>
          </w:p>
          <w:p w14:paraId="1AC33053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Руководитель </w:t>
            </w:r>
            <w:r>
              <w:rPr>
                <w:rFonts w:ascii="Times New Roman" w:hAnsi="Times New Roman"/>
                <w:bCs/>
                <w:sz w:val="24"/>
              </w:rPr>
              <w:br w:type="textWrapping"/>
            </w:r>
            <w:r>
              <w:rPr>
                <w:rFonts w:ascii="Times New Roman" w:hAnsi="Times New Roman"/>
                <w:bCs/>
                <w:sz w:val="24"/>
              </w:rPr>
              <w:t>__________________</w:t>
            </w:r>
            <w:r>
              <w:rPr>
                <w:rFonts w:ascii="Times New Roman" w:hAnsi="Times New Roman"/>
                <w:bCs/>
                <w:sz w:val="24"/>
              </w:rPr>
              <w:br w:type="textWrapping"/>
            </w:r>
          </w:p>
          <w:p w14:paraId="49F3717D">
            <w:pPr>
              <w:widowControl w:val="0"/>
              <w:spacing w:after="14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Оценка, полученная на защите</w:t>
            </w:r>
            <w:r>
              <w:rPr>
                <w:rFonts w:ascii="Times New Roman" w:hAnsi="Times New Roman"/>
                <w:bCs/>
                <w:sz w:val="24"/>
              </w:rPr>
              <w:br w:type="textWrapping"/>
            </w:r>
            <w:r>
              <w:rPr>
                <w:rFonts w:ascii="Times New Roman" w:hAnsi="Times New Roman"/>
                <w:bCs/>
                <w:sz w:val="24"/>
              </w:rPr>
              <w:t>«____________________»</w:t>
            </w:r>
          </w:p>
          <w:p w14:paraId="04DD99B7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Дата защиты: ______________</w:t>
            </w:r>
          </w:p>
        </w:tc>
        <w:tc>
          <w:tcPr>
            <w:tcW w:w="4018" w:type="dxa"/>
          </w:tcPr>
          <w:p w14:paraId="2B647F80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Шатуевым Р.С.</w:t>
            </w:r>
          </w:p>
          <w:p w14:paraId="734BA9A8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_______________________</w:t>
            </w:r>
          </w:p>
          <w:p w14:paraId="3B27F75A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</w:p>
          <w:p w14:paraId="74D891F9">
            <w:pPr>
              <w:widowControl w:val="0"/>
              <w:spacing w:after="10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Руководитель</w:t>
              <w:br/>
              <w:t>Кузнецова В.Ю.</w:t>
            </w:r>
          </w:p>
          <w:p w14:paraId="4A95AB95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___________________________</w:t>
            </w:r>
          </w:p>
        </w:tc>
      </w:tr>
      <w:tr w14:paraId="3B944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2" w:hRule="exact"/>
        </w:trPr>
        <w:tc>
          <w:tcPr>
            <w:tcW w:w="5902" w:type="dxa"/>
            <w:gridSpan w:val="2"/>
            <w:vAlign w:val="bottom"/>
          </w:tcPr>
          <w:p w14:paraId="2D9F74C2">
            <w:pPr>
              <w:widowControl w:val="0"/>
              <w:spacing w:line="360" w:lineRule="auto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Члены комиссии:</w:t>
            </w:r>
          </w:p>
          <w:p w14:paraId="1B30CE46">
            <w:pPr>
              <w:widowControl w:val="0"/>
              <w:spacing w:line="360" w:lineRule="auto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___________________ _______________</w:t>
            </w:r>
          </w:p>
          <w:p w14:paraId="75799D35">
            <w:pPr>
              <w:widowControl w:val="0"/>
              <w:spacing w:line="360" w:lineRule="auto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___________________ </w:t>
            </w:r>
            <w:r>
              <w:rPr>
                <w:rFonts w:ascii="Times New Roman" w:hAnsi="Times New Roman"/>
                <w:bCs/>
                <w:sz w:val="24"/>
                <w:u w:val="single"/>
              </w:rPr>
              <w:t>_______________</w:t>
            </w:r>
          </w:p>
          <w:p w14:paraId="1AFD3ADF">
            <w:pPr>
              <w:widowControl w:val="0"/>
              <w:spacing w:line="360" w:lineRule="auto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</w:p>
        </w:tc>
        <w:tc>
          <w:tcPr>
            <w:tcW w:w="4018" w:type="dxa"/>
          </w:tcPr>
          <w:p w14:paraId="26214F18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</w:p>
        </w:tc>
      </w:tr>
    </w:tbl>
    <w:p w14:paraId="7DBD60CD">
      <w:pPr>
        <w:pStyle w:val="19"/>
        <w:widowControl/>
        <w:spacing w:before="700" w:line="360" w:lineRule="auto"/>
        <w:ind w:right="0"/>
        <w:rPr>
          <w:caps/>
          <w:szCs w:val="24"/>
        </w:rPr>
        <w:sectPr>
          <w:headerReference r:id="rId3" w:type="even"/>
          <w:pgSz w:w="11906" w:h="16838"/>
          <w:pgMar w:top="1418" w:right="851" w:bottom="851" w:left="1134" w:header="567" w:footer="0" w:gutter="0"/>
          <w:cols w:space="720" w:num="1"/>
          <w:docGrid w:linePitch="360" w:charSpace="0"/>
        </w:sectPr>
      </w:pPr>
      <w:r>
        <w:rPr>
          <w:bCs/>
          <w:sz w:val="28"/>
          <w:szCs w:val="28"/>
        </w:rPr>
        <w:t>Астрахань – 2026</w:t>
      </w:r>
    </w:p>
    <w:p w14:paraId="7B28263F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2"/>
        </w:rPr>
        <w:t>ФЕДЕРАЛЬНОЕ АГЕНТСТВО РОССИЙСКОЙ ФЕДЕРАЦИИ ПО РЫБОЛОВСТВУ</w:t>
      </w:r>
    </w:p>
    <w:p w14:paraId="74A0048C">
      <w:pPr>
        <w:jc w:val="center"/>
        <w:rPr>
          <w:rFonts w:ascii="Times New Roman" w:hAnsi="Times New Roman"/>
          <w:b/>
          <w:sz w:val="24"/>
        </w:rPr>
      </w:pPr>
    </w:p>
    <w:p w14:paraId="04F94E45">
      <w:pPr>
        <w:jc w:val="center"/>
        <w:rPr>
          <w:rFonts w:ascii="Times New Roman" w:hAnsi="Times New Roman"/>
          <w:b/>
          <w:sz w:val="24"/>
          <w:lang w:val="en-US"/>
        </w:rPr>
      </w:pPr>
      <w:r>
        <w:rPr>
          <w:rFonts w:ascii="Times New Roman" w:hAnsi="Times New Roman"/>
          <w:b/>
          <w:sz w:val="24"/>
        </w:rPr>
        <w:t>АСТРАХАНСКИЙ ГОСУДАРСТВЕННЫЙ ТЕХНИЧЕСКИЙ УНИВЕРСИТЕТ</w:t>
      </w:r>
    </w:p>
    <w:p w14:paraId="40A9032E">
      <w:pPr>
        <w:jc w:val="center"/>
        <w:rPr>
          <w:rFonts w:ascii="Times New Roman" w:hAnsi="Times New Roman"/>
          <w:b/>
          <w:sz w:val="24"/>
          <w:lang w:val="en-US"/>
        </w:rPr>
      </w:pPr>
    </w:p>
    <w:tbl>
      <w:tblPr>
        <w:tblStyle w:val="7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6"/>
        <w:gridCol w:w="4741"/>
      </w:tblGrid>
      <w:tr w14:paraId="7C613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</w:tcPr>
          <w:p w14:paraId="1C1B6B7E">
            <w:pPr>
              <w:spacing w:line="360" w:lineRule="auto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</w:rPr>
              <w:t>УТВЕРЖДАЮ</w:t>
            </w:r>
          </w:p>
        </w:tc>
        <w:tc>
          <w:tcPr>
            <w:tcW w:w="4741" w:type="dxa"/>
            <w:vMerge w:val="restart"/>
          </w:tcPr>
          <w:p w14:paraId="5E6C067F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Кафедра</w:t>
            </w:r>
            <w:r>
              <w:rPr>
                <w:rFonts w:ascii="Times New Roman" w:hAnsi="Times New Roman"/>
                <w:sz w:val="24"/>
              </w:rPr>
              <w:br w:type="textWrapping"/>
            </w:r>
            <w:r>
              <w:rPr>
                <w:rFonts w:ascii="Times New Roman" w:hAnsi="Times New Roman"/>
                <w:sz w:val="24"/>
              </w:rPr>
              <w:t xml:space="preserve">«Автоматизированные системы </w:t>
            </w:r>
            <w:r>
              <w:rPr>
                <w:rFonts w:ascii="Times New Roman" w:hAnsi="Times New Roman"/>
                <w:sz w:val="24"/>
              </w:rPr>
              <w:br w:type="textWrapping"/>
            </w:r>
            <w:r>
              <w:rPr>
                <w:rFonts w:ascii="Times New Roman" w:hAnsi="Times New Roman"/>
                <w:sz w:val="24"/>
              </w:rPr>
              <w:t>обработки информации и управления»</w:t>
            </w:r>
          </w:p>
        </w:tc>
      </w:tr>
      <w:tr w14:paraId="22034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</w:tcPr>
          <w:p w14:paraId="11862FB4">
            <w:pPr>
              <w:pStyle w:val="87"/>
            </w:pPr>
            <w:r>
              <w:t>Заведующий кафедрой</w:t>
            </w:r>
          </w:p>
          <w:p w14:paraId="2D8E356D">
            <w:pPr>
              <w:pStyle w:val="87"/>
            </w:pPr>
          </w:p>
          <w:p w14:paraId="49D9A267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______________________________</w:t>
            </w:r>
          </w:p>
          <w:p w14:paraId="07D614F0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«____»__________________20___ г.</w:t>
            </w:r>
          </w:p>
        </w:tc>
        <w:tc>
          <w:tcPr>
            <w:tcW w:w="4741" w:type="dxa"/>
            <w:vMerge w:val="continue"/>
          </w:tcPr>
          <w:p w14:paraId="1524CE58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452153DD">
      <w:pPr>
        <w:spacing w:before="60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ЗАДАНИЕ</w:t>
      </w:r>
    </w:p>
    <w:p w14:paraId="70E88A22">
      <w:pPr>
        <w:spacing w:before="120" w:after="24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на выполнение курсовой работы</w:t>
      </w:r>
    </w:p>
    <w:p w14:paraId="10DF3D19">
      <w:pPr>
        <w:tabs>
          <w:tab w:val="left" w:pos="1589"/>
        </w:tabs>
        <w:spacing w:line="360" w:lineRule="auto"/>
        <w:jc w:val="left"/>
        <w:rPr>
          <w:rFonts w:ascii="Times New Roman" w:hAnsi="Times New Roman"/>
          <w:b/>
          <w:i/>
          <w:color w:val="000000"/>
          <w:sz w:val="24"/>
        </w:rPr>
      </w:pPr>
      <w:r>
        <w:rPr>
          <w:rFonts w:ascii="Times New Roman" w:hAnsi="Times New Roman"/>
          <w:sz w:val="24"/>
        </w:rPr>
        <w:t>Обучающийся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i/>
          <w:color w:val="000000"/>
          <w:sz w:val="24"/>
        </w:rPr>
        <w:t>Шатуев Р.С.</w:t>
      </w:r>
    </w:p>
    <w:p w14:paraId="059EA748">
      <w:pPr>
        <w:tabs>
          <w:tab w:val="left" w:pos="1589"/>
        </w:tabs>
        <w:spacing w:line="360" w:lineRule="auto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sz w:val="24"/>
        </w:rPr>
        <w:t>Группа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i/>
          <w:sz w:val="24"/>
        </w:rPr>
        <w:t>ДИНРб-31</w:t>
      </w:r>
    </w:p>
    <w:p w14:paraId="3F721CF2">
      <w:pPr>
        <w:tabs>
          <w:tab w:val="left" w:pos="1589"/>
        </w:tabs>
        <w:spacing w:line="360" w:lineRule="auto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sz w:val="24"/>
        </w:rPr>
        <w:t>Тема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i/>
          <w:sz w:val="24"/>
        </w:rPr>
        <w:t>Моделирование и симуляция робота-манипулятора, выполняющего задачу сортировки объектов по цвету</w:t>
      </w:r>
    </w:p>
    <w:tbl>
      <w:tblPr>
        <w:tblStyle w:val="7"/>
        <w:tblW w:w="9922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11"/>
        <w:gridCol w:w="3111"/>
      </w:tblGrid>
      <w:tr w14:paraId="32B85F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3483D">
            <w:pPr>
              <w:pStyle w:val="87"/>
              <w:tabs>
                <w:tab w:val="left" w:pos="5898"/>
                <w:tab w:val="left" w:pos="6306"/>
                <w:tab w:val="left" w:pos="6729"/>
                <w:tab w:val="left" w:pos="7065"/>
                <w:tab w:val="left" w:pos="8787"/>
                <w:tab w:val="left" w:pos="9363"/>
                <w:tab w:val="left" w:pos="9599"/>
              </w:tabs>
              <w:spacing w:before="120"/>
            </w:pPr>
            <w:r>
              <w:t>Дата</w:t>
            </w:r>
            <w:r>
              <w:rPr>
                <w:lang w:val="en-US"/>
              </w:rPr>
              <w:t> </w:t>
            </w:r>
            <w:r>
              <w:t>получения</w:t>
            </w:r>
            <w:r>
              <w:rPr>
                <w:lang w:val="en-US"/>
              </w:rPr>
              <w:t> </w:t>
            </w:r>
            <w:r>
              <w:t>задания</w:t>
            </w:r>
          </w:p>
          <w:p w14:paraId="32F13ACB">
            <w:pPr>
              <w:pStyle w:val="87"/>
              <w:tabs>
                <w:tab w:val="left" w:pos="5898"/>
                <w:tab w:val="left" w:pos="6306"/>
                <w:tab w:val="left" w:pos="6729"/>
                <w:tab w:val="left" w:pos="7065"/>
                <w:tab w:val="left" w:pos="8787"/>
                <w:tab w:val="left" w:pos="9363"/>
                <w:tab w:val="left" w:pos="9599"/>
              </w:tabs>
              <w:spacing w:before="120"/>
            </w:pPr>
            <w:r>
              <w:t>Срок представления обучающимся работы</w:t>
            </w:r>
          </w:p>
        </w:tc>
        <w:tc>
          <w:tcPr>
            <w:tcW w:w="31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A48EC">
            <w:pPr>
              <w:pStyle w:val="87"/>
              <w:tabs>
                <w:tab w:val="left" w:pos="5898"/>
                <w:tab w:val="left" w:pos="6306"/>
                <w:tab w:val="left" w:pos="6729"/>
                <w:tab w:val="left" w:pos="7065"/>
                <w:tab w:val="left" w:pos="8787"/>
                <w:tab w:val="left" w:pos="9363"/>
                <w:tab w:val="left" w:pos="9599"/>
              </w:tabs>
              <w:spacing w:before="120"/>
            </w:pPr>
            <w:r>
              <w:t>«_____»___________20___г.</w:t>
              <w:br/>
              <w:t>«_____»___________20___г.</w:t>
            </w:r>
          </w:p>
        </w:tc>
      </w:tr>
    </w:tbl>
    <w:p w14:paraId="6EFFA5A2">
      <w:pPr>
        <w:pStyle w:val="87"/>
        <w:tabs>
          <w:tab w:val="left" w:pos="5898"/>
          <w:tab w:val="left" w:pos="6306"/>
          <w:tab w:val="left" w:pos="6729"/>
          <w:tab w:val="left" w:pos="7065"/>
          <w:tab w:val="left" w:pos="8787"/>
          <w:tab w:val="left" w:pos="9363"/>
          <w:tab w:val="left" w:pos="9599"/>
        </w:tabs>
        <w:spacing w:before="120"/>
      </w:pPr>
      <w:r>
        <w:br w:type="textWrapping"/>
      </w:r>
    </w:p>
    <w:tbl>
      <w:tblPr>
        <w:tblStyle w:val="7"/>
        <w:tblW w:w="9870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0"/>
        <w:gridCol w:w="3750"/>
        <w:gridCol w:w="3060"/>
      </w:tblGrid>
      <w:tr w14:paraId="144597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60" w:hRule="atLeast"/>
        </w:trPr>
        <w:tc>
          <w:tcPr>
            <w:tcW w:w="30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07A3F">
            <w:pPr>
              <w:pStyle w:val="87"/>
              <w:spacing w:line="240" w:lineRule="auto"/>
            </w:pPr>
            <w:r>
              <w:t>Руководитель </w:t>
            </w:r>
            <w:r>
              <w:rPr>
                <w:b/>
                <w:bCs/>
                <w:i/>
                <w:iCs/>
                <w:lang w:bidi="ar-SA"/>
              </w:rPr>
            </w:r>
          </w:p>
          <w:p w14:paraId="5D8ED74D">
            <w:pPr>
              <w:pStyle w:val="87"/>
              <w:tabs>
                <w:tab w:val="left" w:pos="2693"/>
                <w:tab w:val="left" w:pos="5529"/>
                <w:tab w:val="left" w:pos="635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должность, степень, звание</w:t>
            </w:r>
          </w:p>
          <w:p w14:paraId="4B3ACEDA">
            <w:pPr>
              <w:pStyle w:val="87"/>
              <w:rPr>
                <w:b/>
                <w:bCs/>
                <w:i/>
                <w:iCs/>
                <w:lang w:bidi="ar-SA"/>
              </w:rPr>
            </w:pPr>
            <w:r>
              <w:rPr>
                <w:b/>
                <w:bCs/>
                <w:i/>
                <w:iCs/>
                <w:lang w:bidi="ar-SA"/>
              </w:rPr>
              <w:t>Обучающийся</w:t>
            </w:r>
          </w:p>
        </w:tc>
        <w:tc>
          <w:tcPr>
            <w:tcW w:w="37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3F427">
            <w:pPr>
              <w:pStyle w:val="87"/>
              <w:spacing w:line="240" w:lineRule="auto"/>
            </w:pPr>
            <w:r>
              <w:t xml:space="preserve">_________   </w:t>
            </w:r>
            <w:r>
              <w:rPr>
                <w:b/>
                <w:bCs/>
                <w:i/>
                <w:iCs/>
              </w:rPr>
              <w:t>Кузнецова В.Ю.</w:t>
            </w:r>
          </w:p>
          <w:p w14:paraId="385AF80E">
            <w:pPr>
              <w:pStyle w:val="87"/>
              <w:tabs>
                <w:tab w:val="left" w:pos="2693"/>
                <w:tab w:val="left" w:pos="5529"/>
                <w:tab w:val="left" w:pos="6356"/>
              </w:tabs>
            </w:pPr>
            <w:r>
              <w:rPr>
                <w:i/>
                <w:iCs/>
                <w:sz w:val="16"/>
                <w:szCs w:val="16"/>
              </w:rPr>
              <w:t xml:space="preserve">      подпись                            ФИО</w:t>
            </w:r>
          </w:p>
          <w:p w14:paraId="77C96ADC">
            <w:pPr>
              <w:pStyle w:val="87"/>
              <w:spacing w:line="240" w:lineRule="auto"/>
            </w:pPr>
            <w:r>
              <w:t xml:space="preserve">_________   </w:t>
            </w:r>
            <w:r>
              <w:rPr>
                <w:b/>
                <w:bCs/>
                <w:i/>
                <w:iCs/>
              </w:rPr>
              <w:t>Шатуев Р.С.</w:t>
            </w:r>
          </w:p>
          <w:p w14:paraId="64EE80A4">
            <w:pPr>
              <w:pStyle w:val="87"/>
              <w:tabs>
                <w:tab w:val="left" w:pos="2693"/>
                <w:tab w:val="left" w:pos="5529"/>
                <w:tab w:val="left" w:pos="6356"/>
              </w:tabs>
              <w:spacing w:line="276" w:lineRule="auto"/>
            </w:pPr>
            <w:r>
              <w:rPr>
                <w:i/>
                <w:iCs/>
                <w:sz w:val="16"/>
                <w:szCs w:val="16"/>
              </w:rPr>
              <w:t xml:space="preserve">      подпись                            ФИО</w:t>
            </w:r>
          </w:p>
        </w:tc>
        <w:tc>
          <w:tcPr>
            <w:tcW w:w="30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743B0">
            <w:pPr>
              <w:pStyle w:val="87"/>
              <w:spacing w:line="240" w:lineRule="auto"/>
            </w:pPr>
            <w:r>
              <w:t>«_____»___________20___г.</w:t>
            </w:r>
          </w:p>
          <w:p w14:paraId="3A8EE21D">
            <w:pPr>
              <w:pStyle w:val="87"/>
              <w:tabs>
                <w:tab w:val="left" w:pos="2693"/>
                <w:tab w:val="left" w:pos="5529"/>
                <w:tab w:val="left" w:pos="6356"/>
              </w:tabs>
            </w:pPr>
          </w:p>
          <w:p w14:paraId="332764FA">
            <w:pPr>
              <w:pStyle w:val="87"/>
            </w:pPr>
            <w:r>
              <w:t>«_____»___________20___г.</w:t>
            </w:r>
          </w:p>
        </w:tc>
      </w:tr>
    </w:tbl>
    <w:p w14:paraId="2C425D40">
      <w:pPr>
        <w:tabs>
          <w:tab w:val="left" w:pos="2693"/>
          <w:tab w:val="left" w:pos="5529"/>
          <w:tab w:val="left" w:pos="7388"/>
        </w:tabs>
        <w:spacing w:before="120"/>
        <w:jc w:val="left"/>
        <w:rPr>
          <w:rFonts w:ascii="Times New Roman" w:hAnsi="Times New Roman"/>
          <w:sz w:val="2"/>
          <w:szCs w:val="2"/>
        </w:rPr>
      </w:pPr>
    </w:p>
    <w:p w14:paraId="771F4E7B">
      <w:pPr>
        <w:pStyle w:val="87"/>
        <w:spacing w:before="240"/>
        <w:jc w:val="center"/>
        <w:rPr>
          <w:b/>
        </w:rPr>
      </w:pPr>
      <w:r>
        <w:rPr>
          <w:b/>
        </w:rPr>
        <w:t>Задачи</w:t>
      </w:r>
    </w:p>
    <w:p w14:paraId="41D373EC">
      <w:pPr>
        <w:pStyle w:val="87"/>
        <w:widowControl w:val="0"/>
        <w:numPr>
          <w:ilvl w:val="0"/>
          <w:numId w:val="3"/>
        </w:numPr>
        <w:jc w:val="both"/>
      </w:pPr>
      <w:r>
        <w:rPr>
          <w:rFonts w:eastAsia="Calibri" w:cs="Verdana"/>
          <w:bCs/>
          <w:color w:val="000000"/>
          <w:lang w:bidi="ar-SA"/>
        </w:rPr>
        <w:t>Зафиксировать требования и критерии виртуальной проверки.</w:t>
      </w:r>
    </w:p>
    <w:p w14:paraId="591699E2">
      <w:pPr>
        <w:pStyle w:val="87"/>
        <w:widowControl w:val="0"/>
        <w:numPr>
          <w:ilvl w:val="0"/>
          <w:numId w:val="4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Спроектировать архитектуру и параметрическую модель манипулятора SCARA.</w:t>
      </w:r>
    </w:p>
    <w:p w14:paraId="178B33CB">
      <w:pPr>
        <w:pStyle w:val="87"/>
        <w:widowControl w:val="0"/>
        <w:numPr>
          <w:ilvl w:val="0"/>
          <w:numId w:val="4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Реализовать и проверить прямую и обратную кинематику.</w:t>
      </w:r>
    </w:p>
    <w:p w14:paraId="3149DCB9">
      <w:pPr>
        <w:pStyle w:val="87"/>
        <w:widowControl w:val="0"/>
        <w:numPr>
          <w:ilvl w:val="0"/>
          <w:numId w:val="4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Реализовать распознавание цвета и определение координат объектов.</w:t>
      </w:r>
    </w:p>
    <w:p w14:paraId="489638EB">
      <w:pPr>
        <w:pStyle w:val="87"/>
        <w:widowControl w:val="0"/>
        <w:numPr>
          <w:ilvl w:val="0"/>
          <w:numId w:val="4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Разработать безопасное планирование траекторий и цикл захвата и сортировки.</w:t>
      </w:r>
    </w:p>
    <w:p w14:paraId="04641B76">
      <w:pPr>
        <w:pStyle w:val="87"/>
        <w:widowControl w:val="0"/>
        <w:numPr>
          <w:ilvl w:val="0"/>
          <w:numId w:val="4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Интегрировать систему в симуляцию, провести виртуальные испытания и подготовить документацию.</w:t>
      </w:r>
    </w:p>
    <w:p w14:paraId="4B1E4534">
      <w:pPr>
        <w:spacing w:before="240" w:line="360" w:lineRule="auto"/>
        <w:rPr>
          <w:rFonts w:ascii="Times New Roman" w:hAnsi="Times New Roman"/>
          <w:b/>
          <w:sz w:val="24"/>
        </w:rPr>
      </w:pPr>
    </w:p>
    <w:p w14:paraId="00AC1995">
      <w:pPr>
        <w:spacing w:before="240"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Список рекомендуемой литературы</w:t>
      </w:r>
    </w:p>
    <w:p w14:paraId="41806C7E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Lynch K. M., Park F. C. Modern Robotics: Mechanics, Planning, and Control. Cambridge University Press, 2017. URL: https://modernrobotics.northwestern.edu/nu-gm-book-resource/ (дата обращения: 27.09.2026).</w:t>
      </w:r>
    </w:p>
    <w:p w14:paraId="6A92D8CD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bCs/>
          <w:color w:val="000000"/>
          <w:lang w:bidi="ar-SA"/>
        </w:rPr>
        <w:t>Google DeepMind. MuJoCo Documentation: Modeling; XML Reference; API Reference. URL: https://mujoco.readthedocs.io/en/stable/ (дата обращения: 27.09.2026).</w:t>
      </w:r>
    </w:p>
    <w:p w14:paraId="49B4DD5D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bCs/>
          <w:color w:val="000000"/>
          <w:lang w:bidi="ar-SA"/>
        </w:rPr>
        <w:t>OpenCV. OpenCV 4.12.0 Documentation: Color Space Conversions; Features2D + Homography. URL: https://docs.opencv.org/4.12.0/d8/d01/group__imgproc__color__conversions.html; https://docs.opencv.org/4.12.0/d7/dff/tutorial_feature_homography.html (дата обращения: 27.09.2026).</w:t>
      </w:r>
    </w:p>
    <w:p w14:paraId="6381BA78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bCs/>
          <w:color w:val="000000"/>
          <w:lang w:bidi="ar-SA"/>
        </w:rPr>
        <w:t>NIST. Guide to the SI, Appendix B.9: Factors for units listed by kind of quantity or field of science. URL: https://www.nist.gov/pml/special-publication-811/nist-guide-si-appendix-b-conversion-factors/nist-guide-si-appendix-b9 (дата обращения: 27.09.2026).</w:t>
      </w:r>
    </w:p>
    <w:p w14:paraId="7595465B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Prusa Polymers. Prusament PLA Technical Data Sheet. URL: https://prusament.com/wp-content/uploads/2022/10/PLA_Prusament_TDS_2021_10_EN.pdf (дата обращения: 27.09.2026).</w:t>
      </w:r>
    </w:p>
    <w:p w14:paraId="408F6A7C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Проектная документация M1–M9: архитектура, SSOT, кинематика, зрение, планирование, FSM, интеграция, протокол и отчет виртуальных испытаний. Исходники и версии сохранены в составе проекта.</w:t>
      </w:r>
    </w:p>
    <w:p w14:paraId="7260A44F">
      <w:pPr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</w:rPr>
        <w:br w:type="page"/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9"/>
        <w:gridCol w:w="4718"/>
      </w:tblGrid>
      <w:tr w14:paraId="45EFD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19" w:type="dxa"/>
          </w:tcPr>
          <w:p w14:paraId="30AF9E32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УТВЕРЖДАЮ</w:t>
            </w:r>
          </w:p>
        </w:tc>
        <w:tc>
          <w:tcPr>
            <w:tcW w:w="4718" w:type="dxa"/>
            <w:vMerge w:val="restart"/>
            <w:vAlign w:val="center"/>
          </w:tcPr>
          <w:p w14:paraId="5A5672B7">
            <w:pPr>
              <w:pStyle w:val="87"/>
              <w:jc w:val="center"/>
            </w:pPr>
            <w:r>
              <w:t>К заданию на курсовую работу</w:t>
              <w:br/>
              <w:t>по дисциплине</w:t>
              <w:br/>
              <w:t>«Моделирование роботов»</w:t>
            </w:r>
          </w:p>
          <w:p w14:paraId="22DD8EE7">
            <w:pPr>
              <w:pStyle w:val="87"/>
              <w:jc w:val="center"/>
            </w:pPr>
          </w:p>
          <w:p w14:paraId="0856B0C0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7A421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3" w:hRule="atLeast"/>
        </w:trPr>
        <w:tc>
          <w:tcPr>
            <w:tcW w:w="5419" w:type="dxa"/>
          </w:tcPr>
          <w:p w14:paraId="33763553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Заведующий кафедрой</w:t>
            </w:r>
          </w:p>
          <w:p w14:paraId="56839359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  <w:p w14:paraId="4CA2634C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______________________________</w:t>
            </w:r>
          </w:p>
          <w:p w14:paraId="10C4C41B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«____»__________________20___г.</w:t>
            </w:r>
          </w:p>
        </w:tc>
        <w:tc>
          <w:tcPr>
            <w:tcW w:w="4718" w:type="dxa"/>
            <w:vMerge w:val="continue"/>
          </w:tcPr>
          <w:p w14:paraId="5EDD8809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3B4BBA39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КАЛЕНДАРНЫЙ ГРАФИК</w:t>
      </w:r>
    </w:p>
    <w:p w14:paraId="412AE2C5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Курсовой работы</w:t>
      </w:r>
    </w:p>
    <w:p w14:paraId="1092EF80">
      <w:pPr>
        <w:jc w:val="center"/>
        <w:rPr>
          <w:rFonts w:ascii="Times New Roman" w:hAnsi="Times New Roman"/>
          <w:sz w:val="24"/>
        </w:rPr>
      </w:pPr>
    </w:p>
    <w:tbl>
      <w:tblPr>
        <w:tblStyle w:val="7"/>
        <w:tblW w:w="9919" w:type="dxa"/>
        <w:tblInd w:w="116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3"/>
        <w:gridCol w:w="6928"/>
        <w:gridCol w:w="1440"/>
        <w:gridCol w:w="988"/>
      </w:tblGrid>
      <w:tr w14:paraId="7A2860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</w:trPr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270C2">
            <w:pPr>
              <w:pStyle w:val="87"/>
              <w:ind w:left="-57" w:right="-57"/>
              <w:jc w:val="center"/>
            </w:pPr>
            <w:r>
              <w:t>№ п/п</w:t>
            </w:r>
          </w:p>
        </w:tc>
        <w:tc>
          <w:tcPr>
            <w:tcW w:w="69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DF854">
            <w:pPr>
              <w:pStyle w:val="87"/>
              <w:jc w:val="center"/>
            </w:pPr>
            <w:r>
              <w:t>Разделы, темы и их содержание, графический материал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9688F">
            <w:pPr>
              <w:pStyle w:val="87"/>
              <w:jc w:val="center"/>
            </w:pPr>
            <w:r>
              <w:t>Дата сдачи</w:t>
            </w:r>
          </w:p>
        </w:tc>
        <w:tc>
          <w:tcPr>
            <w:tcW w:w="9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5694D">
            <w:pPr>
              <w:pStyle w:val="87"/>
              <w:ind w:left="-57" w:right="-57"/>
              <w:jc w:val="center"/>
            </w:pPr>
            <w:r>
              <w:t>Объем,</w:t>
            </w:r>
            <w:r>
              <w:rPr>
                <w:lang w:val="en-US"/>
              </w:rPr>
              <w:t xml:space="preserve"> </w:t>
            </w:r>
            <w:r>
              <w:t>%</w:t>
            </w:r>
          </w:p>
        </w:tc>
      </w:tr>
      <w:tr w14:paraId="3EFA34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73F6C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69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AA8AD">
            <w:pPr>
              <w:pStyle w:val="87"/>
              <w:spacing w:line="240" w:lineRule="auto"/>
            </w:pPr>
            <w:r>
              <w:rPr>
                <w:sz w:val="22"/>
              </w:rPr>
              <w:t>M0. Аудит задания и фиксация требований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DE2D9">
            <w:pPr>
              <w:pStyle w:val="87"/>
              <w:jc w:val="center"/>
              <w:rPr>
                <w:rFonts w:eastAsia="Calibri"/>
                <w:lang w:val="en-US" w:bidi="ar-SA"/>
              </w:rPr>
            </w:pPr>
          </w:p>
        </w:tc>
        <w:tc>
          <w:tcPr>
            <w:tcW w:w="9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74849">
            <w:pPr>
              <w:pStyle w:val="87"/>
              <w:jc w:val="center"/>
            </w:pPr>
          </w:p>
        </w:tc>
      </w:tr>
      <w:tr w14:paraId="5888D2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BD767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A4BC7">
            <w:pPr>
              <w:pStyle w:val="87"/>
              <w:spacing w:line="240" w:lineRule="auto"/>
            </w:pPr>
            <w:r>
              <w:rPr>
                <w:sz w:val="22"/>
              </w:rPr>
              <w:t>M1. Архитектура и выбор средств моделирования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723C8">
            <w:pPr>
              <w:pStyle w:val="87"/>
              <w:jc w:val="center"/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B5E30">
            <w:pPr>
              <w:pStyle w:val="87"/>
              <w:jc w:val="center"/>
            </w:pPr>
          </w:p>
        </w:tc>
      </w:tr>
      <w:tr w14:paraId="57B954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55B9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69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C85B">
            <w:pPr>
              <w:pStyle w:val="87"/>
              <w:tabs>
                <w:tab w:val="left" w:pos="310"/>
              </w:tabs>
              <w:spacing w:line="240" w:lineRule="auto"/>
            </w:pPr>
            <w:r>
              <w:rPr>
                <w:sz w:val="22"/>
              </w:rPr>
              <w:t>M2. Геометрия модели и единая спецификация параметров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3246F">
            <w:pPr>
              <w:pStyle w:val="87"/>
              <w:jc w:val="center"/>
            </w:pPr>
          </w:p>
        </w:tc>
        <w:tc>
          <w:tcPr>
            <w:tcW w:w="9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38BA2">
            <w:pPr>
              <w:pStyle w:val="87"/>
              <w:jc w:val="center"/>
            </w:pPr>
          </w:p>
        </w:tc>
      </w:tr>
      <w:tr w14:paraId="32FA86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75A79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8F467">
            <w:pPr>
              <w:pStyle w:val="87"/>
              <w:tabs>
                <w:tab w:val="left" w:pos="310"/>
              </w:tabs>
              <w:spacing w:line="240" w:lineRule="auto"/>
            </w:pPr>
            <w:r>
              <w:rPr>
                <w:sz w:val="22"/>
              </w:rPr>
              <w:t>M3. Прямая и обратная кинематика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EABEF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5E9D0">
            <w:pPr>
              <w:pStyle w:val="87"/>
              <w:jc w:val="center"/>
            </w:pPr>
          </w:p>
        </w:tc>
      </w:tr>
      <w:tr w14:paraId="76D5C8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09A3D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69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1A92F">
            <w:pPr>
              <w:pStyle w:val="87"/>
              <w:spacing w:line="240" w:lineRule="auto"/>
            </w:pPr>
            <w:r>
              <w:rPr>
                <w:sz w:val="22"/>
              </w:rPr>
              <w:t>M4. Компьютерное зрение и определение положения объектов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75D96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0FEB5">
            <w:pPr>
              <w:pStyle w:val="87"/>
              <w:jc w:val="center"/>
            </w:pPr>
          </w:p>
        </w:tc>
      </w:tr>
      <w:tr w14:paraId="62D545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AFA7D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9DAFB">
            <w:pPr>
              <w:pStyle w:val="87"/>
              <w:spacing w:line="240" w:lineRule="auto"/>
            </w:pPr>
            <w:r>
              <w:rPr>
                <w:sz w:val="22"/>
              </w:rPr>
              <w:t>M5. Планирование траекторий и проверка столкновений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E56F4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ED6A0">
            <w:pPr>
              <w:pStyle w:val="87"/>
              <w:jc w:val="center"/>
            </w:pPr>
          </w:p>
        </w:tc>
      </w:tr>
      <w:tr w14:paraId="5F1F25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93648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74879">
            <w:pPr>
              <w:pStyle w:val="87"/>
              <w:spacing w:line="240" w:lineRule="auto"/>
            </w:pPr>
            <w:r>
              <w:rPr>
                <w:sz w:val="22"/>
              </w:rPr>
              <w:t>M6. Алгоритм сортировки и конечный автомат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59279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B0DF0">
            <w:pPr>
              <w:pStyle w:val="87"/>
              <w:jc w:val="center"/>
            </w:pPr>
          </w:p>
        </w:tc>
      </w:tr>
      <w:tr w14:paraId="09F77B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5228F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3E5CD">
            <w:pPr>
              <w:pStyle w:val="87"/>
              <w:spacing w:line="240" w:lineRule="auto"/>
            </w:pPr>
            <w:r>
              <w:rPr>
                <w:sz w:val="22"/>
              </w:rPr>
              <w:t>M7–M8. Интеграция физической модели, визуализация и видео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63A97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1DF33">
            <w:pPr>
              <w:pStyle w:val="87"/>
              <w:jc w:val="center"/>
            </w:pPr>
          </w:p>
        </w:tc>
      </w:tr>
      <w:tr w14:paraId="06830D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EC3AF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F6710">
            <w:pPr>
              <w:pStyle w:val="87"/>
              <w:spacing w:line="240" w:lineRule="auto"/>
            </w:pPr>
            <w:r>
              <w:rPr>
                <w:sz w:val="22"/>
              </w:rPr>
              <w:t>M9. Виртуальные испытания и анализ результатов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CD267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0C615">
            <w:pPr>
              <w:pStyle w:val="87"/>
              <w:jc w:val="center"/>
            </w:pPr>
          </w:p>
        </w:tc>
      </w:tr>
      <w:tr w14:paraId="024E37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70842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69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761BE">
            <w:pPr>
              <w:pStyle w:val="87"/>
              <w:spacing w:line="240" w:lineRule="auto"/>
            </w:pPr>
            <w:r>
              <w:rPr>
                <w:sz w:val="22"/>
              </w:rPr>
              <w:t>M10–M12. Записка, презентация и финальная приемка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514A9">
            <w:pPr>
              <w:pStyle w:val="87"/>
              <w:jc w:val="center"/>
            </w:pPr>
          </w:p>
        </w:tc>
        <w:tc>
          <w:tcPr>
            <w:tcW w:w="9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71C83">
            <w:pPr>
              <w:pStyle w:val="87"/>
              <w:jc w:val="center"/>
            </w:pPr>
          </w:p>
        </w:tc>
      </w:tr>
    </w:tbl>
    <w:p w14:paraId="12A78AD7">
      <w:pPr>
        <w:spacing w:line="360" w:lineRule="auto"/>
        <w:jc w:val="left"/>
        <w:rPr>
          <w:rFonts w:ascii="Times New Roman" w:hAnsi="Times New Roman"/>
          <w:sz w:val="24"/>
        </w:rPr>
      </w:pPr>
    </w:p>
    <w:p w14:paraId="18BBB407">
      <w:pPr>
        <w:pStyle w:val="87"/>
      </w:pPr>
      <w:r>
        <w:t>С графиком ознакомлен  «____» _________________ 20___ г.</w:t>
      </w:r>
    </w:p>
    <w:p w14:paraId="1E4F118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color w:val="000000"/>
          <w:sz w:val="24"/>
        </w:rPr>
        <w:t>Шатуев Р.С. _______________________, обучающийся группы ДИНРб-31</w:t>
      </w:r>
    </w:p>
    <w:p w14:paraId="1857450E">
      <w:pPr>
        <w:rPr>
          <w:rFonts w:ascii="Times New Roman" w:hAnsi="Times New Roman"/>
          <w:szCs w:val="16"/>
        </w:rPr>
      </w:pPr>
      <w:r>
        <w:rPr>
          <w:rFonts w:ascii="Times New Roman" w:hAnsi="Times New Roman"/>
          <w:szCs w:val="16"/>
        </w:rPr>
        <w:t>(фамилия, инициалы, подпись)</w:t>
      </w:r>
    </w:p>
    <w:p w14:paraId="103D3110">
      <w:pPr>
        <w:spacing w:line="360" w:lineRule="auto"/>
        <w:jc w:val="left"/>
        <w:rPr>
          <w:rFonts w:ascii="Times New Roman" w:hAnsi="Times New Roman"/>
          <w:sz w:val="24"/>
        </w:rPr>
      </w:pPr>
    </w:p>
    <w:p w14:paraId="342AAA44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График курсового проектирования выполнен</w:t>
      </w:r>
    </w:p>
    <w:p w14:paraId="023A9BEA">
      <w:pPr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4"/>
        </w:rPr>
        <w:t>без отклонений / с незначительными отклонениями / со значительными отклонениями</w:t>
      </w:r>
      <w:r>
        <w:rPr>
          <w:rFonts w:ascii="Times New Roman" w:hAnsi="Times New Roman"/>
          <w:sz w:val="24"/>
        </w:rPr>
        <w:br w:type="textWrapping"/>
      </w:r>
    </w:p>
    <w:p w14:paraId="41C6BF71">
      <w:pPr>
        <w:jc w:val="center"/>
        <w:rPr>
          <w:rFonts w:ascii="Times New Roman" w:hAnsi="Times New Roman"/>
          <w:szCs w:val="16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Cs w:val="16"/>
        </w:rPr>
        <w:t xml:space="preserve">нужное подчеркнуть </w:t>
      </w:r>
    </w:p>
    <w:p w14:paraId="7DA87C9C">
      <w:pPr>
        <w:rPr>
          <w:rFonts w:ascii="Times New Roman" w:hAnsi="Times New Roman"/>
          <w:sz w:val="24"/>
        </w:rPr>
      </w:pPr>
    </w:p>
    <w:p w14:paraId="16A90C0C">
      <w:pPr>
        <w:pStyle w:val="87"/>
      </w:pPr>
      <w:r>
        <w:t>Руководитель курсового проекта ___________________________ Кузнецова В.Ю.</w:t>
      </w:r>
    </w:p>
    <w:p w14:paraId="58E0EDF1">
      <w:pPr>
        <w:pStyle w:val="99"/>
        <w:pageBreakBefore/>
        <w:tabs>
          <w:tab w:val="right" w:leader="dot" w:pos="9689"/>
        </w:tabs>
      </w:pPr>
      <w:bookmarkStart w:id="0" w:name="_Toc199359343"/>
      <w:bookmarkStart w:id="1" w:name="_Toc199416742"/>
      <w:bookmarkStart w:id="2" w:name="_Toc199417160"/>
      <w:bookmarkStart w:id="3" w:name="_Toc199404571"/>
      <w:bookmarkStart w:id="4" w:name="_Toc199696944"/>
      <w:bookmarkStart w:id="5" w:name="_Toc199417019"/>
      <w:r>
        <w:t>СОДЕРЖАНИЕ</w:t>
      </w:r>
      <w:bookmarkEnd w:id="0"/>
      <w:bookmarkEnd w:id="1"/>
      <w:bookmarkEnd w:id="2"/>
      <w:bookmarkEnd w:id="3"/>
      <w:bookmarkEnd w:id="4"/>
      <w:bookmarkEnd w:id="5"/>
    </w:p>
    <w:sdt>
      <w:sdtPr>
        <w:rPr>
          <w:rFonts w:ascii="Verdana" w:hAnsi="Verdana" w:eastAsia="Calibri" w:cs="Times New Roman"/>
          <w:color w:val="auto"/>
          <w:sz w:val="16"/>
          <w:szCs w:val="24"/>
          <w:lang w:eastAsia="en-US"/>
        </w:rPr>
        <w:id w:val="-1615125031"/>
        <w:docPartObj>
          <w:docPartGallery w:val="Table of Contents"/>
          <w:docPartUnique/>
        </w:docPartObj>
      </w:sdtPr>
      <w:sdtEndPr>
        <w:rPr>
          <w:rFonts w:ascii="Verdana" w:hAnsi="Verdana" w:eastAsia="Calibri" w:cs="Times New Roman"/>
          <w:b/>
          <w:bCs/>
          <w:color w:val="auto"/>
          <w:sz w:val="16"/>
          <w:szCs w:val="24"/>
          <w:lang w:eastAsia="en-US"/>
        </w:rPr>
      </w:sdtEndPr>
      <w:sdtContent>
        <w:p>
          <w:pPr>
            <w:pStyle w:val="26"/>
            <w:tabs>
              <w:tab w:val="right" w:leader="dot" w:pos="997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ВВЕДЕНИЕ</w:t>
          </w:r>
          <w:r>
            <w:tab/>
          </w:r>
          <w:r>
            <w:t>6</w:t>
          </w:r>
        </w:p>
        <w:p>
          <w:pPr>
            <w:pStyle w:val="26"/>
            <w:tabs>
              <w:tab w:val="right" w:leader="dot" w:pos="9975"/>
            </w:tabs>
          </w:pPr>
          <w:r>
            <w:t>1. Требования и постановка задачи</w:t>
          </w:r>
          <w:r>
            <w:tab/>
          </w:r>
          <w:r>
            <w:t>7</w:t>
          </w:r>
        </w:p>
        <w:p>
          <w:pPr>
            <w:pStyle w:val="28"/>
            <w:tabs>
              <w:tab w:val="right" w:leader="dot" w:pos="9975"/>
            </w:tabs>
          </w:pPr>
          <w:r>
            <w:t>1.1. Функциональная постановка</w:t>
          </w:r>
          <w:r>
            <w:tab/>
          </w:r>
          <w:r>
            <w:t>7</w:t>
          </w:r>
        </w:p>
        <w:p>
          <w:pPr>
            <w:pStyle w:val="28"/>
            <w:tabs>
              <w:tab w:val="right" w:leader="dot" w:pos="9975"/>
            </w:tabs>
          </w:pPr>
          <w:r>
            <w:t>1.2. Критерии исхода</w:t>
          </w:r>
          <w:r>
            <w:tab/>
          </w:r>
          <w:r>
            <w:t>7</w:t>
          </w:r>
        </w:p>
        <w:p>
          <w:pPr>
            <w:pStyle w:val="26"/>
            <w:tabs>
              <w:tab w:val="right" w:leader="dot" w:pos="9975"/>
            </w:tabs>
          </w:pPr>
          <w:r>
            <w:t>2. Архитектура программируемой ячейки</w:t>
          </w:r>
          <w:r>
            <w:tab/>
          </w:r>
          <w:r>
            <w:t>8</w:t>
          </w:r>
        </w:p>
        <w:p>
          <w:pPr>
            <w:pStyle w:val="28"/>
            <w:tabs>
              <w:tab w:val="right" w:leader="dot" w:pos="9975"/>
            </w:tabs>
          </w:pPr>
          <w:r>
            <w:t>2.1. Состав и поток данных</w:t>
          </w:r>
          <w:r>
            <w:tab/>
          </w:r>
          <w:r>
            <w:t>8</w:t>
          </w:r>
        </w:p>
        <w:p>
          <w:pPr>
            <w:pStyle w:val="28"/>
            <w:tabs>
              <w:tab w:val="right" w:leader="dot" w:pos="9975"/>
            </w:tabs>
          </w:pPr>
          <w:r>
            <w:t>2.2. Выбор кинематической схемы</w:t>
          </w:r>
          <w:r>
            <w:tab/>
          </w:r>
          <w:r>
            <w:t>8</w:t>
          </w:r>
        </w:p>
        <w:p>
          <w:pPr>
            <w:pStyle w:val="28"/>
            <w:tabs>
              <w:tab w:val="right" w:leader="dot" w:pos="9975"/>
            </w:tabs>
          </w:pPr>
          <w:r>
            <w:t>2.3. Выбор симулятора и реального предмета моделирования</w:t>
          </w:r>
          <w:r>
            <w:tab/>
          </w:r>
          <w:r>
            <w:t>9</w:t>
          </w:r>
        </w:p>
        <w:p>
          <w:pPr>
            <w:pStyle w:val="26"/>
            <w:tabs>
              <w:tab w:val="right" w:leader="dot" w:pos="9975"/>
            </w:tabs>
          </w:pPr>
          <w:r>
            <w:t>3. Геометрическая модель и параметры сцены</w:t>
          </w:r>
          <w:r>
            <w:tab/>
          </w:r>
          <w:r>
            <w:t>10</w:t>
          </w:r>
        </w:p>
        <w:p>
          <w:pPr>
            <w:pStyle w:val="28"/>
            <w:tabs>
              <w:tab w:val="right" w:leader="dot" w:pos="9975"/>
            </w:tabs>
          </w:pPr>
          <w:r>
            <w:t>3.1. Координатные соглашения</w:t>
          </w:r>
          <w:r>
            <w:tab/>
          </w:r>
          <w:r>
            <w:t>10</w:t>
          </w:r>
        </w:p>
        <w:p>
          <w:pPr>
            <w:pStyle w:val="28"/>
            <w:tabs>
              <w:tab w:val="right" w:leader="dot" w:pos="9975"/>
            </w:tabs>
          </w:pPr>
          <w:r>
            <w:t>3.2. Габариты и степени свободы</w:t>
          </w:r>
          <w:r>
            <w:tab/>
          </w:r>
          <w:r>
            <w:t>10</w:t>
          </w:r>
        </w:p>
        <w:p>
          <w:pPr>
            <w:pStyle w:val="28"/>
            <w:tabs>
              <w:tab w:val="right" w:leader="dot" w:pos="9975"/>
            </w:tabs>
          </w:pPr>
          <w:r>
            <w:t>3.3. Массы, контакт и захват</w:t>
          </w:r>
          <w:r>
            <w:tab/>
          </w:r>
          <w:r>
            <w:t>13</w:t>
          </w:r>
        </w:p>
        <w:p>
          <w:pPr>
            <w:pStyle w:val="26"/>
            <w:tabs>
              <w:tab w:val="right" w:leader="dot" w:pos="9975"/>
            </w:tabs>
          </w:pPr>
          <w:r>
            <w:t>4. Кинематическая модель</w:t>
          </w:r>
          <w:r>
            <w:tab/>
          </w:r>
          <w:r>
            <w:t>14</w:t>
          </w:r>
        </w:p>
        <w:p>
          <w:pPr>
            <w:pStyle w:val="28"/>
            <w:tabs>
              <w:tab w:val="right" w:leader="dot" w:pos="9975"/>
            </w:tabs>
          </w:pPr>
          <w:r>
            <w:t>4.1. Прямая кинематика</w:t>
          </w:r>
          <w:r>
            <w:tab/>
          </w:r>
          <w:r>
            <w:t>14</w:t>
          </w:r>
        </w:p>
        <w:p>
          <w:pPr>
            <w:pStyle w:val="28"/>
            <w:tabs>
              <w:tab w:val="right" w:leader="dot" w:pos="9975"/>
            </w:tabs>
          </w:pPr>
          <w:r>
            <w:t>4.2. Обратная кинематика и ограничения</w:t>
          </w:r>
          <w:r>
            <w:tab/>
          </w:r>
          <w:r>
            <w:t>14</w:t>
          </w:r>
        </w:p>
        <w:p>
          <w:pPr>
            <w:pStyle w:val="28"/>
            <w:tabs>
              <w:tab w:val="right" w:leader="dot" w:pos="9975"/>
            </w:tabs>
          </w:pPr>
          <w:r>
            <w:t>4.3. Проверка кинематических вычислений</w:t>
          </w:r>
          <w:r>
            <w:tab/>
          </w:r>
          <w:r>
            <w:t>14</w:t>
          </w:r>
        </w:p>
        <w:p>
          <w:pPr>
            <w:pStyle w:val="26"/>
            <w:tabs>
              <w:tab w:val="right" w:leader="dot" w:pos="9975"/>
            </w:tabs>
          </w:pPr>
          <w:r>
            <w:t>5. Камеры и компьютерное зрение</w:t>
          </w:r>
          <w:r>
            <w:tab/>
          </w:r>
          <w:r>
            <w:t>16</w:t>
          </w:r>
        </w:p>
        <w:p>
          <w:pPr>
            <w:pStyle w:val="28"/>
            <w:tabs>
              <w:tab w:val="right" w:leader="dot" w:pos="9975"/>
            </w:tabs>
          </w:pPr>
          <w:r>
            <w:t>5.1. Сенсорный интерфейс и калибровка</w:t>
          </w:r>
          <w:r>
            <w:tab/>
          </w:r>
          <w:r>
            <w:t>16</w:t>
          </w:r>
        </w:p>
        <w:p>
          <w:pPr>
            <w:pStyle w:val="28"/>
            <w:tabs>
              <w:tab w:val="right" w:leader="dot" w:pos="9975"/>
            </w:tabs>
          </w:pPr>
          <w:r>
            <w:t>5.2. Выделение объектов и классификация цвета</w:t>
          </w:r>
          <w:r>
            <w:tab/>
          </w:r>
          <w:r>
            <w:t>17</w:t>
          </w:r>
        </w:p>
        <w:p>
          <w:pPr>
            <w:pStyle w:val="28"/>
            <w:tabs>
              <w:tab w:val="right" w:leader="dot" w:pos="9975"/>
            </w:tabs>
          </w:pPr>
          <w:r>
            <w:t>5.3. Граница информации и результат проверки perception</w:t>
          </w:r>
          <w:r>
            <w:tab/>
          </w:r>
          <w:r>
            <w:t>17</w:t>
          </w:r>
        </w:p>
        <w:p>
          <w:pPr>
            <w:pStyle w:val="26"/>
            <w:tabs>
              <w:tab w:val="right" w:leader="dot" w:pos="9975"/>
            </w:tabs>
          </w:pPr>
          <w:r>
            <w:t>6. Планирование траекторий и контроль столкновений</w:t>
          </w:r>
          <w:r>
            <w:tab/>
          </w:r>
          <w:r>
            <w:t>19</w:t>
          </w:r>
        </w:p>
        <w:p>
          <w:pPr>
            <w:pStyle w:val="28"/>
            <w:tabs>
              <w:tab w:val="right" w:leader="dot" w:pos="9975"/>
            </w:tabs>
          </w:pPr>
          <w:r>
            <w:t>6.1. Полный план цикла</w:t>
          </w:r>
          <w:r>
            <w:tab/>
          </w:r>
          <w:r>
            <w:t>19</w:t>
          </w:r>
        </w:p>
        <w:p>
          <w:pPr>
            <w:pStyle w:val="28"/>
            <w:tabs>
              <w:tab w:val="right" w:leader="dot" w:pos="9975"/>
            </w:tabs>
          </w:pPr>
          <w:r>
            <w:t>6.2. Проверка столкновений и смысл запаса</w:t>
          </w:r>
          <w:r>
            <w:tab/>
          </w:r>
          <w:r>
            <w:t>19</w:t>
          </w:r>
        </w:p>
        <w:p>
          <w:pPr>
            <w:pStyle w:val="26"/>
            <w:tabs>
              <w:tab w:val="right" w:leader="dot" w:pos="9975"/>
            </w:tabs>
          </w:pPr>
          <w:r>
            <w:t>7. Конечный автомат и обработка отказов</w:t>
          </w:r>
          <w:r>
            <w:tab/>
          </w:r>
          <w:r>
            <w:t>21</w:t>
          </w:r>
        </w:p>
        <w:p>
          <w:pPr>
            <w:pStyle w:val="26"/>
            <w:tabs>
              <w:tab w:val="right" w:leader="dot" w:pos="9975"/>
            </w:tabs>
          </w:pPr>
          <w:r>
            <w:t>8. Программная реализация и интеграция</w:t>
          </w:r>
          <w:r>
            <w:tab/>
          </w:r>
          <w:r>
            <w:t>22</w:t>
          </w:r>
        </w:p>
        <w:p>
          <w:pPr>
            <w:pStyle w:val="26"/>
            <w:tabs>
              <w:tab w:val="right" w:leader="dot" w:pos="9975"/>
            </w:tabs>
          </w:pPr>
          <w:r>
            <w:t>9. Методика виртуальных испытаний</w:t>
          </w:r>
          <w:r>
            <w:tab/>
          </w:r>
          <w:r>
            <w:t>23</w:t>
          </w:r>
        </w:p>
        <w:p>
          <w:pPr>
            <w:pStyle w:val="28"/>
            <w:tabs>
              <w:tab w:val="right" w:leader="dot" w:pos="9975"/>
            </w:tabs>
          </w:pPr>
          <w:r>
            <w:t>9.1. Протокол и воспроизводимость</w:t>
          </w:r>
          <w:r>
            <w:tab/>
          </w:r>
          <w:r>
            <w:t>23</w:t>
          </w:r>
        </w:p>
        <w:p>
          <w:pPr>
            <w:pStyle w:val="28"/>
            <w:tabs>
              <w:tab w:val="right" w:leader="dot" w:pos="9975"/>
            </w:tabs>
          </w:pPr>
          <w:r>
            <w:t>9.2. Сценарии и измеряемые показатели</w:t>
          </w:r>
          <w:r>
            <w:tab/>
          </w:r>
          <w:r>
            <w:t>23</w:t>
          </w:r>
        </w:p>
        <w:p>
          <w:pPr>
            <w:pStyle w:val="26"/>
            <w:tabs>
              <w:tab w:val="right" w:leader="dot" w:pos="9975"/>
            </w:tabs>
          </w:pPr>
          <w:r>
            <w:t>10. Результаты и их анализ</w:t>
          </w:r>
          <w:r>
            <w:tab/>
          </w:r>
          <w:r>
            <w:t>24</w:t>
          </w:r>
        </w:p>
        <w:p>
          <w:pPr>
            <w:pStyle w:val="28"/>
            <w:tabs>
              <w:tab w:val="right" w:leader="dot" w:pos="9975"/>
            </w:tabs>
          </w:pPr>
          <w:r>
            <w:t>10.1. Основной приемочный результат</w:t>
          </w:r>
          <w:r>
            <w:tab/>
          </w:r>
          <w:r>
            <w:t>24</w:t>
          </w:r>
        </w:p>
        <w:p>
          <w:pPr>
            <w:pStyle w:val="28"/>
            <w:tabs>
              <w:tab w:val="right" w:leader="dot" w:pos="9975"/>
            </w:tabs>
          </w:pPr>
          <w:r>
            <w:t>10.2. Качество восприятия и ограничения интеграции</w:t>
          </w:r>
          <w:r>
            <w:tab/>
          </w:r>
          <w:r>
            <w:t>25</w:t>
          </w:r>
        </w:p>
        <w:p>
          <w:pPr>
            <w:pStyle w:val="28"/>
            <w:tabs>
              <w:tab w:val="right" w:leader="dot" w:pos="9975"/>
            </w:tabs>
          </w:pPr>
          <w:r>
            <w:t>10.3. Траектория и слежение</w:t>
          </w:r>
          <w:r>
            <w:tab/>
          </w:r>
          <w:r>
            <w:t>26</w:t>
          </w:r>
        </w:p>
        <w:p>
          <w:pPr>
            <w:pStyle w:val="28"/>
            <w:tabs>
              <w:tab w:val="right" w:leader="dot" w:pos="9975"/>
            </w:tabs>
          </w:pPr>
          <w:r>
            <w:t>10.4. Интерпретация и направления доработки</w:t>
          </w:r>
          <w:r>
            <w:tab/>
          </w:r>
          <w:r>
            <w:t>27</w:t>
          </w:r>
        </w:p>
        <w:p>
          <w:pPr>
            <w:pStyle w:val="26"/>
            <w:tabs>
              <w:tab w:val="right" w:leader="dot" w:pos="9975"/>
            </w:tabs>
          </w:pPr>
          <w:r>
            <w:t>11. Ограничения и границы выводов</w:t>
          </w:r>
          <w:r>
            <w:tab/>
          </w:r>
          <w:r>
            <w:t>28</w:t>
          </w:r>
        </w:p>
        <w:p>
          <w:pPr>
            <w:pStyle w:val="26"/>
            <w:tabs>
              <w:tab w:val="right" w:leader="dot" w:pos="9975"/>
            </w:tabs>
          </w:pPr>
          <w:r>
            <w:t>ЗАКЛЮЧЕНИЕ</w:t>
          </w:r>
          <w:r>
            <w:tab/>
          </w:r>
          <w:r>
            <w:t>29</w:t>
          </w:r>
        </w:p>
        <w:p>
          <w:pPr>
            <w:pStyle w:val="26"/>
            <w:tabs>
              <w:tab w:val="right" w:leader="dot" w:pos="9975"/>
            </w:tabs>
          </w:pPr>
          <w:r>
            <w:t>СПИСОК ИСПОЛЬЗОВАННЫХ ИСТОЧНИКОВ</w:t>
          </w:r>
          <w:r>
            <w:tab/>
          </w:r>
          <w:r>
            <w:t>30</w:t>
          </w:r>
        </w:p>
        <w:p>
          <w:pPr>
            <w:pStyle w:val="26"/>
            <w:tabs>
              <w:tab w:val="right" w:leader="dot" w:pos="9975"/>
            </w:tabs>
          </w:pPr>
          <w:r>
            <w:t>ПРИЛОЖЕНИЕ А. Структура программного комплекта</w:t>
          </w:r>
          <w:r>
            <w:tab/>
          </w:r>
          <w:r>
            <w:t>31</w:t>
          </w:r>
        </w:p>
        <w:p>
          <w:pPr>
            <w:pStyle w:val="26"/>
            <w:tabs>
              <w:tab w:val="right" w:leader="dot" w:pos="9975"/>
            </w:tabs>
          </w:pPr>
          <w:r>
            <w:t>ПРИЛОЖЕНИЕ Б. Основной фрагмент кинематической реализации</w:t>
          </w:r>
          <w:r>
            <w:tab/>
          </w:r>
          <w:r>
            <w:t>32</w:t>
          </w:r>
          <w:r>
            <w:fldChar w:fldCharType="end"/>
          </w:r>
        </w:p>
      </w:sdtContent>
    </w:sdt>
    <w:p w14:paraId="51124776"/>
    <w:p w14:paraId="7848F00F"/>
    <w:p w14:paraId="67311BEB">
      <w:pPr>
        <w:spacing w:line="360" w:lineRule="auto"/>
        <w:rPr>
          <w:rFonts w:ascii="Times New Roman" w:hAnsi="Times New Roman"/>
          <w:b/>
          <w:sz w:val="28"/>
          <w:szCs w:val="28"/>
        </w:rPr>
        <w:sectPr>
          <w:pgSz w:w="11906" w:h="16838"/>
          <w:pgMar w:top="1418" w:right="851" w:bottom="851" w:left="1134" w:header="567" w:footer="0" w:gutter="0"/>
          <w:cols w:space="720" w:num="1"/>
          <w:titlePg/>
          <w:docGrid w:linePitch="360" w:charSpace="0"/>
        </w:sectPr>
      </w:pPr>
    </w:p>
    <w:p>
      <w:pPr>
        <w:pStyle w:val="2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ВВЕДЕНИЕ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Автоматизированная сортировка деталей требует согласованной работы сенсора, алгоритма принятия решений, механизма захвата и привода. Для учебного проекта особенно важно не ограничиваться анимацией перемещения манипулятора: решение должно связывать изображение сцены с оценкой положения объекта, проверять достижимость цели, исключать заведомо небезопасный путь и подтверждать результат независимым способом.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  <w:lang w:val="ru-RU"/>
        </w:rPr>
        <w:t>Объект работы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программно моделируемая роботизированная ячейка для сортировки неподвижных объектов на столе.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Предмет работы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методы распознавания цвета и положения, кинематические расчеты, планирование движения и организация цикла захвата и укладки в виртуальной среде.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  <w:lang w:val="ru-RU"/>
        </w:rPr>
        <w:t>Цель работы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разработать и исследовать в программной симуляции систему на базе манипулятора, которая получает наблюдения виртуальных RGB-камер, классифицирует однослойные объекты по цвету, захватывает доступные объекты и переносит их в соответствующие зоны, а при невозможности безопасного действия отказывается от него с фиксируемой причиной.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Для достижения цели решены задачи: сформированы требования и архитектура ячейки; построена параметрическая модель четырехкоординатного манипулятора SCARA; выведены прямая и обратная кинематика; реализованы обнаружение объекта, классификация цвета и оценка положения по RGB-кадру; разработаны планировщик с проверкой ограничений и конечный автомат; выполнена интеграция с контактной физической моделью; проведены воспроизводимые виртуальные испытания и проанализированы их результаты.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Работа ограничена статичной настольной сценой, однослойными прямоугольными объектами трех известных целевых цветов и заранее заданными лотками. Физического прототипа нет. Поэтому далее различаются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математическая проверка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формул и программных функций,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виртуальная верификация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поведения цифровой модели и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физическая валидация</w:t>
      </w:r>
      <w:r>
        <w:rPr>
          <w:rFonts w:ascii="Times New Roman" w:hAnsi="Times New Roman" w:eastAsia="Times New Roman" w:cs="Times New Roman"/>
          <w:sz w:val="24"/>
          <w:lang w:val="ru-RU"/>
        </w:rPr>
        <w:t>, которая в проекте не проводилась.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1. Требования и постановка задачи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1.1. Функциональная постановка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рабочую ячейку подаются объекты RED, GREEN и BLUE. Контроллер получает только публичные данные датчиков: новые RGB-кадры, собственные координаты суставов и разрешенные сигналы захвата. На основе изображения программное зрение формирует кандидатов, присваивает им класс и оценку позы. Для выбранного объекта проверяется допустимость захвата, выбирается свободная ячейка нужного лотка и до выдачи команд строится полный план цикла. После движения контроллер отдельно проверяет удержание и визуально подтверждает укладку.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Полная функциональная цепочка имеет вид: инициализация → наблюдение → обнаружение и классификация → оценка положения → проверка достижимости и безопасности → выбор объекта и места → планирование → подход → захват → проверка удержания → перенос → отпускание → отход → проверка зоны и слота → следующий объект. Внутренний ground truth симулятора разрешен только независимому оценщику после действий контроллера; он не является входом управляющего алгоритма.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1.2. Критерии исхода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В проекте не используется единое расплывчатое понятие «успешно».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Успешная виртуальная сортировка объекта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означает, что независимый post-run evaluator подтвердил его фактическое расположение в правильном слоте.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Завершение партии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терминальное состояние обработки набора; оно не гарантирует сортировку каждого объекта.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Безопасный отказ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контроллер не выполняет неподтвержденное действие и фиксирует причину.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Провал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неверный слот, столкновение, потеря объекта, нарушение лимита либо несоответствие исхода заранее заданному критерию.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Главный приемочный критерий кампании M9 был зафиксирован до анализа результатов: не менее 27 полных партий из 30 в сценарии случайной смешанной партии V03. Дополнительно регистрировались верность цвета, число правильных укладок, неверные зоны, контактные эпизоды, нарушения суставных/силовых лимитов, длительность, путь и воспроизводимость. Численные требования не менялись после получения результатов.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2. Архитектура программируемой ячейки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2.1. Состав и поток данных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Архитектура состоит из параметрической MJCF-модели сцены, адаптеров виртуальных камер и суставных сигналов, модуля perception, кинематики, планировщика, контроллера FSM, конечных позиционных приводов MuJoCo и отдельного оценщика. Общие геометрические и аппаратно обусловленные значения хранятся в едином файле SSOT </w:t>
      </w:r>
      <w:r>
        <w:rPr>
          <w:rFonts w:ascii="Consolas" w:hAnsi="Consolas" w:eastAsia="Consolas" w:cs="Consolas"/>
          <w:sz w:val="20"/>
          <w:lang w:val="ru-RU"/>
        </w:rPr>
        <w:t>02_Спецификация/параметры_системы.yaml</w:t>
      </w:r>
      <w:r>
        <w:rPr>
          <w:rFonts w:ascii="Times New Roman" w:hAnsi="Times New Roman" w:eastAsia="Times New Roman" w:cs="Times New Roman"/>
          <w:sz w:val="24"/>
          <w:lang w:val="ru-RU"/>
        </w:rPr>
        <w:t>; программные модули используют его как общую базу параметров, чтобы геометрия, код и модель не расходились [6].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Публичный управляющий поток: генератор сцены → динамика и рендерер MuJoCo → CameraFrame → perception → FK/IK → планировщик → FSM → адаптер приводов → обновленное состояние физической модели. Обратная связь включает координаты суставов и разрешенные сигналы контакта. Отдельная ветвь evaluator получает скрытые метки, фактические позы, контакты и конечные зоны только после работы контроллера; этот поток используется для измерения качества и не возвращается в управление. Пассивный recorder сохраняет изображения и состояния для воспроизведения, но также не меняет команды.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2975519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Архитектура_M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75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2.1 - Архитектура программной системы и разделение управляющего контура и независимой оценки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2.2. Выбор кинематической схемы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Принят стационарный SCARA типа R–R–P–R: два последовательных вращательных сустава задают положение рабочего органа в XY, вертикальный поступательный сустав задает высоту, а вращение запястья — плоскую ориентацию инструмента. Четыре координаты манипулятора достаточны для вертикального захвата и перемещения плоских объектов, но не предназначены для произвольной пространственной ориентации инструмента. Захват — параллельный двухпальцевый, пальцы симметрично связаны; им управляет одна координата. Таким образом, модель имеет четыре координаты руки и одну координату раскрытия захвата.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SCARA выбран для плоской рабочей зоны и возможности аналитически вывести IK [1]. Шарнирная рука с шестью осями добавила бы ненужные для плоской задачи степени свободы; декартова схема упростила бы позиционирование, но хуже раскрывала бы кинематику серийного манипулятора. Модель не представляет серийный промышленный привод и не содержит характеристик конкретных сервомоторов.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2.3. Выбор симулятора и реального предмета моделирования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Для сцены и контактной динамики используется MuJoCo 3.14.0, а контроллер, геометрия, perception и обработка результатов реализованы на Python 3.12.10. Модель описывается в открытом редактируемом формате MJCF; в ней заданы тела, сочленения, геометрия столкновений, позиционные актуаторы, датчики и виртуальные камеры [2]. Выбор позволяет выполнить съемку сцены и контактное взаимодействие в одной воспроизводимой программной среде.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На раннем этапе предусматривалась одна верхняя камера. При интеграции полного цикла добавлена вторая публичная камера для проверки места укладки: рука могла закрывать область лотков основному ракурсу. Изменение зафиксировано в версии M7 SSOT и не дает контроллеру доступа к ground truth. Отдельная электрическая схема в состав работы не включена: проект является программной моделью и физическая электроника не проектировалась.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3. Геометрическая модель и параметры сцены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3.1. Координатные соглашения</w:t>
      </w:r>
    </w:p>
    <w:p>
      <w:pPr>
        <w:widowControl/>
        <w:spacing w:line="360" w:lineRule="auto"/>
        <w:ind w:firstLine="709"/>
        <w:jc w:val="both"/>
      </w:pPr>
      <w:r>
        <w:rPr>
          <w:rFonts w:ascii="Consolas" w:hAnsi="Consolas" w:eastAsia="Consolas" w:cs="Consolas"/>
          <w:sz w:val="20"/>
          <w:lang w:val="ru-RU"/>
        </w:rPr>
        <w:t>WORLD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и </w:t>
      </w:r>
      <w:r>
        <w:rPr>
          <w:rFonts w:ascii="Consolas" w:hAnsi="Consolas" w:eastAsia="Consolas" w:cs="Consolas"/>
          <w:sz w:val="20"/>
          <w:lang w:val="ru-RU"/>
        </w:rPr>
        <w:t>BASE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совпадают в XY-нуле основания на поверхности стола. Система правосторонняя: +X направлена вправо, +Y — от фронтального края стола к дальней стороне, +Z — вверх. Внутренние единицы — метры, радианы, секунды, килограммы и ньютоны в системе СИ [4]. Однородное преобразование </w:t>
      </w:r>
      <w:r>
        <w:rPr>
          <w:rFonts w:ascii="Consolas" w:hAnsi="Consolas" w:eastAsia="Consolas" w:cs="Consolas"/>
          <w:sz w:val="20"/>
          <w:lang w:val="ru-RU"/>
        </w:rPr>
        <w:t>T_A_B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переводит координаты столбца из кадра B в кадр A: </w:t>
      </w:r>
      <w:r>
        <w:rPr>
          <w:rFonts w:ascii="Consolas" w:hAnsi="Consolas" w:eastAsia="Consolas" w:cs="Consolas"/>
          <w:sz w:val="20"/>
          <w:lang w:val="ru-RU"/>
        </w:rPr>
        <w:t>p_A = T_A_B p_B</w:t>
      </w:r>
      <w:r>
        <w:rPr>
          <w:rFonts w:ascii="Times New Roman" w:hAnsi="Times New Roman" w:eastAsia="Times New Roman" w:cs="Times New Roman"/>
          <w:sz w:val="24"/>
          <w:lang w:val="ru-RU"/>
        </w:rPr>
        <w:t>. Векторы камеры OpenCV имеют оси X вправо, Y вниз, Z вперед; преобразование камеры в мировую систему выполняется адаптером, а не неявным переиспользованием координат.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371186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Системы_координат_M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1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3.1 - Системы координат манипулятора и соглашение о преобразованиях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3.2. Габариты и степени свободы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Основные геометрические параметры приведены в таблице 3.1 и взяты из итогового SSOT M7-v1.8 [6]. Суставные диапазоны описывают виртуальную модель и не трактуются как измеренные характеристики реального манипулятора.</w:t>
      </w:r>
    </w:p>
    <w:p>
      <w:pPr>
        <w:keepNext/>
        <w:spacing w:line="240" w:lineRule="auto" w:before="60" w:after="80"/>
        <w:ind w:firstLine="0"/>
        <w:jc w:val="left"/>
      </w:pPr>
      <w:r>
        <w:rPr>
          <w:rFonts w:ascii="Times New Roman" w:hAnsi="Times New Roman" w:eastAsia="Times New Roman" w:cs="Times New Roman"/>
          <w:sz w:val="24"/>
          <w:lang w:val="ru-RU"/>
        </w:rPr>
        <w:t>Таблица 3.1 - Основные геометрические параметры модели</w:t>
      </w:r>
    </w:p>
    <w:tbl>
      <w:tblPr>
        <w:tblStyle w:val="34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1"/>
                <w:lang w:val="ru-RU"/>
              </w:rPr>
              <w:t>Параметр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1"/>
                <w:lang w:val="ru-RU"/>
              </w:rPr>
              <w:t>Значение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1"/>
                <w:lang w:val="ru-RU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Тип кинематической цепи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SCARA R–R–P–R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4 координаты руки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Управляемая координата захвата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Симметричное раскрытие пальцев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Длина звеньев L1, L2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0,230 м; 0,200 м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Межосевые расстояния в XY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Высота оси J1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0,190 м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От плоскости стола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Ход вертикальной координаты J3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0…0,097 м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Положительное направление вниз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Диапазон J1, J2, J4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±180°; ±150°; ±180°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Ограничения суставов модели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Диапазон одной координаты пальца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0…0,027 м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Правая сторона кинематически связана с левой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Расчетный радиальный диапазон TCP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0,115…0,430 м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С учетом лимита J2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Рабочая поверхность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1,000 × 0,900 м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Статичный стол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Наружный размер цветового лотка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0,184 × 0,160 м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Итоговая геометрия M7-v1.8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Слоты в одном лотке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3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9 слотов всего, шаг по X 32 мм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Размер объекта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0,028 × 0,028 × 0,016 м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Сплошной прямоугольный параллелепипед</w:t>
            </w:r>
          </w:p>
        </w:tc>
      </w:tr>
      <w:tr>
        <w:trPr>
          <w:cantSplit/>
        </w:trPr>
        <w:tc>
          <w:tcPr>
            <w:tcW w:type="dxa" w:w="35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Масса одного объекта модели</w:t>
            </w:r>
          </w:p>
        </w:tc>
        <w:tc>
          <w:tcPr>
            <w:tcW w:type="dxa" w:w="2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0,01555 кг</w:t>
            </w:r>
          </w:p>
        </w:tc>
        <w:tc>
          <w:tcPr>
            <w:tcW w:type="dxa" w:w="36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Расчетная при номинальной плотности PLA</w:t>
            </w:r>
          </w:p>
        </w:tc>
      </w:tr>
    </w:tbl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модели предусмотрены две детали каждого целевого класса, всего шесть объектов. Входная область имеет размер 0,240 × 0,160 м. В окончательной конфигурации M7-v1.8 наружный размер каждого цветового лотка равен 0,184 × 0,160 м; в каждом заданы три слота с шагом 32 мм по X, всего девять мест [6]. Центры областей заданы относительно BASE: вход — (0; −0,250) м, лоток RED — (−0,220; 0,210) м, GREEN — (0; 0,300) м, BLUE — (0,220; 0,210) м. Итоговая схема ячейки показана на виде сверху и изометрии.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333195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Компоновка_ячейки_M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31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3.2 - Вид сверху: компоновка итоговой конфигурации M7-v1.8 из SSOT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3452054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Размерный_вид_M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5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3.3 - Размерный вид итоговой ячейки: наружный размер лотка 184 × 160 мм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472535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ARA_изометрия_M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3.4 - Изометрическая визуализация параметрической модели M7-v1.8, отрендеренная в MuJoCo 3.14.0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3.3. Массы, контакт и захват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Объекты моделируются твердыми параллелепипедами из изотропного PLA. Для расчета номинальной массы используется плотность 1240 кг/м³ из технического листа материала [5]; преобразование единиц выполнено в СИ [4]. Например, объем объекта составляет </w:t>
      </w:r>
      <w:r>
        <w:rPr>
          <w:rFonts w:ascii="Consolas" w:hAnsi="Consolas" w:eastAsia="Consolas" w:cs="Consolas"/>
          <w:sz w:val="20"/>
          <w:lang w:val="ru-RU"/>
        </w:rPr>
        <w:t>0,028 × 0,028 × 0,016 = 1,2544·10⁻⁵ м³</w:t>
      </w:r>
      <w:r>
        <w:rPr>
          <w:rFonts w:ascii="Times New Roman" w:hAnsi="Times New Roman" w:eastAsia="Times New Roman" w:cs="Times New Roman"/>
          <w:sz w:val="24"/>
          <w:lang w:val="ru-RU"/>
        </w:rPr>
        <w:t>, расчетная масса — приблизительно 0,01555 кг. Пористость, направление печатных слоев и вариация заполнения не моделируются. Для звеньев аналогично заданы расчетные массы и моменты инерции из геометрии оболочек модели; это параметры симуляции, а не паспортные свойства изготовленного устройства.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Захват основан на контакте двух пальцев с объектом, а не на мгновенном присоединении или телепортации. Конечный position actuator закрывает пальцы, после чего объект должен удерживаться трением при пробном подъеме и переносе. Модель задает суммарную обобщенную силу захвата 1,2 Н, по 0,6 Н на палец, и коэффициенты контактного трения; эти числа являются параметрами виртуального контактного решателя. MuJoCo моделирует контакт, но качество результата зависит от разрешения модели, шага интегрирования и выбранных параметров решателя [2].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391505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Поток_сортировки_M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1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3.5 - Последовательность обработки объекта и независимая ветвь оценки результата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4. Кинематическая модель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4.1. Прямая кинематика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Вектор суставов </w:t>
      </w:r>
      <w:r>
        <w:rPr>
          <w:rFonts w:ascii="Consolas" w:hAnsi="Consolas" w:eastAsia="Consolas" w:cs="Consolas"/>
          <w:sz w:val="20"/>
          <w:lang w:val="ru-RU"/>
        </w:rPr>
        <w:t>q = [q1, q2, q3, q4]ᵀ</w:t>
      </w:r>
      <w:r>
        <w:rPr>
          <w:rFonts w:ascii="Times New Roman" w:hAnsi="Times New Roman" w:eastAsia="Times New Roman" w:cs="Times New Roman"/>
          <w:sz w:val="24"/>
          <w:lang w:val="ru-RU"/>
        </w:rPr>
        <w:t>; для q1, q2 и q4 используются радианы, для q3 — метры. Угловые оси J1, J2 и J4 направлены вдоль +Z, поступательная ось J3 — вдоль локального −Z. Длина первого и второго звеньев — L1=0,230 м и L2=0,200 м. Из последовательности однородных преобразований от BASE к TCP получаем:</w:t>
      </w:r>
    </w:p>
    <w:p>
      <w:pPr>
        <w:keepLines/>
        <w:spacing w:before="60" w:after="60"/>
        <w:ind w:firstLine="0"/>
        <w:jc w:val="center"/>
      </w:pPr>
      <w:r>
        <w:rPr>
          <w:rFonts w:ascii="Cambria Math" w:hAnsi="Cambria Math" w:eastAsia="Cambria Math" w:cs="Cambria Math"/>
          <w:sz w:val="22"/>
          <w:lang w:val="ru-RU"/>
        </w:rPr>
        <w:t>x = x_b + L_1 cos(q_1) + L_2 cos(q_1+q_2), y = y_b + L_1 sin(q_1) + L_2 sin(q_1+q_2), z = z_b + 0,103 - q_3, ψ = wrap(q_1+q_2+q_4).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В нулевом положении основания </w:t>
      </w:r>
      <w:r>
        <w:rPr>
          <w:rFonts w:ascii="Consolas" w:hAnsi="Consolas" w:eastAsia="Consolas" w:cs="Consolas"/>
          <w:sz w:val="20"/>
          <w:lang w:val="ru-RU"/>
        </w:rPr>
        <w:t>x_b=y_b=z_b=0</w:t>
      </w:r>
      <w:r>
        <w:rPr>
          <w:rFonts w:ascii="Times New Roman" w:hAnsi="Times New Roman" w:eastAsia="Times New Roman" w:cs="Times New Roman"/>
          <w:sz w:val="24"/>
          <w:lang w:val="ru-RU"/>
        </w:rPr>
        <w:t>. Высота TCP при q3=0 равна 0,103 м и складывается из высоты плеча 0,190 м, расстояния от каретки до центра запястья 0,075 м и смещения TCP −0,012 м. Явное указание смещений важно: длина звеньев в плоскости и вертикальные инструментальные смещения не сводятся к одной «длине руки».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Для локальной оценки связи скорости TCP с суставными скоростями применяется аналитический якобиан. Его плоский XY-блок становится вырожденным при </w:t>
      </w:r>
      <w:r>
        <w:rPr>
          <w:rFonts w:ascii="Consolas" w:hAnsi="Consolas" w:eastAsia="Consolas" w:cs="Consolas"/>
          <w:sz w:val="20"/>
          <w:lang w:val="ru-RU"/>
        </w:rPr>
        <w:t>sin(q2)=0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; вытянутое положение q2=0 доступно и помечается как near-singular при </w:t>
      </w:r>
      <w:r>
        <w:rPr>
          <w:rFonts w:ascii="Consolas" w:hAnsi="Consolas" w:eastAsia="Consolas" w:cs="Consolas"/>
          <w:sz w:val="20"/>
          <w:lang w:val="ru-RU"/>
        </w:rPr>
        <w:t>|sin(q2)|≤0,05</w:t>
      </w:r>
      <w:r>
        <w:rPr>
          <w:rFonts w:ascii="Times New Roman" w:hAnsi="Times New Roman" w:eastAsia="Times New Roman" w:cs="Times New Roman"/>
          <w:sz w:val="24"/>
          <w:lang w:val="ru-RU"/>
        </w:rPr>
        <w:t>. Маркер близости к сингулярности не подменяет ограничения допустимости точки.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4.2. Обратная кинематика и ограничения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Для заданной точки XY рассчитывается косинус локтевого угла:</w:t>
      </w:r>
    </w:p>
    <w:p>
      <w:pPr>
        <w:keepLines/>
        <w:spacing w:before="60" w:after="60"/>
        <w:ind w:firstLine="0"/>
        <w:jc w:val="center"/>
      </w:pPr>
      <w:r>
        <w:rPr>
          <w:rFonts w:ascii="Cambria Math" w:hAnsi="Cambria Math" w:eastAsia="Cambria Math" w:cs="Cambria Math"/>
          <w:sz w:val="22"/>
          <w:lang w:val="ru-RU"/>
        </w:rPr>
        <w:t>c_2 = ((x-x_b)^2+(y-y_b)^2-L_1^2-L_2^2)/(2 L_1 L_2), q_2 = ± arccos(c_2), q_1 = atan2(y-y_b,x-x_b)-atan2(L_2 sin(q_2),L_1+L_2 cos(q_2)), q_3 = z_b+0,103-z, q_4 = ψ-q_1-q_2.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Обе ветви локтя проверяются отдельно. Геометрически невозможная цель отклоняется; корректировать </w:t>
      </w:r>
      <w:r>
        <w:rPr>
          <w:rFonts w:ascii="Consolas" w:hAnsi="Consolas" w:eastAsia="Consolas" w:cs="Consolas"/>
          <w:sz w:val="20"/>
          <w:lang w:val="ru-RU"/>
        </w:rPr>
        <w:t>c2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разрешено только для round-off величиной не более 10⁻¹². Далее применяются реальные пределы J1/J2/J3/J4. Для квадратного объекта плоская ориентация повторяется с периодом π/2, но эквивалентный yaw используется только если задача допускает такой поворот. Выбирается допустимая конфигурация, минимизирующая нормированное изменение от текущего состояния. Если остаток независимой прямой кинематики выше численного допуска, результат считается ошибкой, а не достижимой целью. Методика кинематических преобразований согласуется с базовыми постановками прямой и обратной кинематики серийных роботов [1].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4.3. Проверка кинематических вычислений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Проверка M3 отдельно сравнивала собственную формульную реализацию с преобразованиями MuJoCo, не используя движок как IK-решатель [1, 2, 6]. На 10 000 допустимых суставных конфигураций максимальная ошибка FK→IK→FK составила 2,69·10⁻¹⁶ м; на 1000 случайных состояний максимальная разность положения с MuJoCo составила 1,61·10⁻¹⁶ м. Для 200 случаев якобиан сравнивался с центральной конечной разностью шага 10⁻⁷; максимальная компонентная ошибка равна 6,08·10⁻⁹. На 3844 точках сеток четырёх целевых областей отказов IK не было, все 15 центров слотов тестовой конфигурации M3 были достижимы как TCP-точки. Это число относится к набору целей M3, а не к количеству мест в итоговой ячейке: при интеграции M7 закреплены три слота на лоток, всего девять; их центры сохранены среди ранее проверенных точек [6]. Результаты подтверждают численную согласованность FK/IK в выбранной модели, но не доказывают отсутствие столкновения объемных звеньев или успех захвата.</w:t>
      </w:r>
    </w:p>
    <w:p>
      <w:pPr>
        <w:keepNext/>
        <w:spacing w:line="240" w:lineRule="auto" w:before="60" w:after="80"/>
        <w:ind w:firstLine="0"/>
        <w:jc w:val="left"/>
      </w:pPr>
      <w:r>
        <w:rPr>
          <w:rFonts w:ascii="Times New Roman" w:hAnsi="Times New Roman" w:eastAsia="Times New Roman" w:cs="Times New Roman"/>
          <w:sz w:val="24"/>
          <w:lang w:val="ru-RU"/>
        </w:rPr>
        <w:t>Таблица 4.1 - Проверки математической модели M3</w:t>
      </w:r>
    </w:p>
    <w:tbl>
      <w:tblPr>
        <w:tblStyle w:val="34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2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1"/>
                <w:lang w:val="ru-RU"/>
              </w:rPr>
              <w:t>Проверка</w:t>
            </w:r>
          </w:p>
        </w:tc>
        <w:tc>
          <w:tcPr>
            <w:tcW w:type="dxa" w:w="33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1"/>
                <w:lang w:val="ru-RU"/>
              </w:rPr>
              <w:t>Выборка</w:t>
            </w:r>
          </w:p>
        </w:tc>
        <w:tc>
          <w:tcPr>
            <w:tcW w:type="dxa" w:w="33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1"/>
                <w:lang w:val="ru-RU"/>
              </w:rPr>
              <w:t>Максимальный остаток / исход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FK→IK→FK</w:t>
            </w:r>
          </w:p>
        </w:tc>
        <w:tc>
          <w:tcPr>
            <w:tcW w:type="dxa" w:w="33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10 000 конфигураций, seed 20260924</w:t>
            </w:r>
          </w:p>
        </w:tc>
        <w:tc>
          <w:tcPr>
            <w:tcW w:type="dxa" w:w="33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2,69·10⁻¹⁶ м; yaw 2,22·10⁻¹⁵ рад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Сверка с MuJoCo</w:t>
            </w:r>
          </w:p>
        </w:tc>
        <w:tc>
          <w:tcPr>
            <w:tcW w:type="dxa" w:w="33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1 000 конфигураций, seed 71103</w:t>
            </w:r>
          </w:p>
        </w:tc>
        <w:tc>
          <w:tcPr>
            <w:tcW w:type="dxa" w:w="33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1,61·10⁻¹⁶ м; ориентация 5,32·10⁻¹⁶ рад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Якобиан против конечной разности</w:t>
            </w:r>
          </w:p>
        </w:tc>
        <w:tc>
          <w:tcPr>
            <w:tcW w:type="dxa" w:w="33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200 конфигураций, seed 52103</w:t>
            </w:r>
          </w:p>
        </w:tc>
        <w:tc>
          <w:tcPr>
            <w:tcW w:type="dxa" w:w="33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6,08·10⁻⁹ по компоненте</w:t>
            </w:r>
          </w:p>
        </w:tc>
      </w:tr>
      <w:tr>
        <w:trPr>
          <w:cantSplit/>
        </w:trPr>
        <w:tc>
          <w:tcPr>
            <w:tcW w:type="dxa" w:w="32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Сетка входа и лотков</w:t>
            </w:r>
          </w:p>
        </w:tc>
        <w:tc>
          <w:tcPr>
            <w:tcW w:type="dxa" w:w="33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3 844 TCP-точки</w:t>
            </w:r>
          </w:p>
        </w:tc>
        <w:tc>
          <w:tcPr>
            <w:tcW w:type="dxa" w:w="335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1"/>
                <w:lang w:val="ru-RU"/>
              </w:rPr>
              <w:t>0 отказов IK</w:t>
            </w:r>
          </w:p>
        </w:tc>
      </w:tr>
    </w:tbl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5. Камеры и компьютерное зрение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5.1. Сенсорный интерфейс и калибровка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интегрированной системе используются два виртуальных публичных RGB-ракурса. Камера входной зоны M2 расположена в (0; 0; 1,05) м; отдельная камера placement_rgb M7 находится в (0; 0,26; 0,95) м и направлена на область сортировки. Для обеих камер заданы разрешение 640×480 пикселей и вертикальный угол поля зрения 50°. Допустимый возраст кадра — не более 0,04 с модельного времени. Камерный адаптер передает массив RGB uint8, frame ID, timestamp и идентификатор конфигурации. Пустой или просроченный кадр не заменяется прошлой позой.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Пиксельная точка переводится в координату BASE по плоской гомографии, рассчитанной для плоскости верхней грани куба на высоте 0,016 м. Для основной камеры калибровка использовала 49 точек, а отдельные 64 точки проверяли преобразование. Эта геометрия применима только к объектам на заданной высоте и не является полноценным трехмерным восстановлением сцены. Для камеры лотков применяется отдельная калибровочная конфигурация. OpenCV предоставляет операции преобразования цветового пространства и проективных преобразований, используемые адаптером зрения [3].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3474306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Камера_и_рабочая_зона_M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5.1 - Основная виртуальная камера и рабочие области; камера укладки placement_rgb описана отдельно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5.2. Выделение объектов и классификация цвета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Для первичного выделения объект сравнивается с фоновым изображением в CIE Lab: пиксель кандидата должен иметь </w:t>
      </w:r>
      <w:r>
        <w:rPr>
          <w:rFonts w:ascii="Consolas" w:hAnsi="Consolas" w:eastAsia="Consolas" w:cs="Consolas"/>
          <w:sz w:val="20"/>
          <w:lang w:val="ru-RU"/>
        </w:rPr>
        <w:t>ΔE*ab ≥ 16</w:t>
      </w:r>
      <w:r>
        <w:rPr>
          <w:rFonts w:ascii="Times New Roman" w:hAnsi="Times New Roman" w:eastAsia="Times New Roman" w:cs="Times New Roman"/>
          <w:sz w:val="24"/>
          <w:lang w:val="ru-RU"/>
        </w:rPr>
        <w:t>. Перед сегментацией выполняется ограниченная поканальная нормализация освещенности по статичному фрагменту стола. Затем применяются область входа, морфологическая фильтрация 3×3 и геометрические ограничения контура. Если близкие объекты сливаются в одну компоненту, компоненту разрешено разделить только при наличии отдельных цветовых ядер; в неоднозначном случае алгоритм отказывается от распознавания.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Цвет определяется в HSV по внутренней области маски, эродированной для снижения влияния границы объекта и стола. Таблица 5.1 фиксирует принятые диапазоны M4; Hue указан в шкале OpenCV 0…179, S и V — 8-битные пороги. Для RED используются два интервала вокруг циклического нуля Hue. Неподдерживаемый или недостаточно уверенный цвет получает UNKNOWN и не является разрешением на захват. Оценка confidence — нормированный score согласованности классов, а не калиброванная вероятность.</w:t>
      </w:r>
    </w:p>
    <w:p>
      <w:pPr>
        <w:keepNext/>
        <w:spacing w:line="240" w:lineRule="auto" w:before="60" w:after="80"/>
        <w:ind w:firstLine="0"/>
        <w:jc w:val="left"/>
      </w:pPr>
      <w:r>
        <w:rPr>
          <w:rFonts w:ascii="Times New Roman" w:hAnsi="Times New Roman" w:eastAsia="Times New Roman" w:cs="Times New Roman"/>
          <w:sz w:val="24"/>
          <w:lang w:val="ru-RU"/>
        </w:rPr>
        <w:t>Таблица 5.1 - Диапазоны классификации поддерживаемых цветов</w:t>
      </w:r>
    </w:p>
    <w:tbl>
      <w:tblPr>
        <w:tblStyle w:val="34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98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>Класс</w:t>
            </w:r>
          </w:p>
        </w:tc>
        <w:tc>
          <w:tcPr>
            <w:tcW w:type="dxa" w:w="32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>Hue, OpenCV</w:t>
            </w:r>
          </w:p>
        </w:tc>
        <w:tc>
          <w:tcPr>
            <w:tcW w:type="dxa" w:w="23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>Минимум S</w:t>
            </w:r>
          </w:p>
        </w:tc>
        <w:tc>
          <w:tcPr>
            <w:tcW w:type="dxa" w:w="23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>Минимум V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RED</w:t>
            </w:r>
          </w:p>
        </w:tc>
        <w:tc>
          <w:tcPr>
            <w:tcW w:type="dxa" w:w="32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0…7 или 176…179</w:t>
            </w:r>
          </w:p>
        </w:tc>
        <w:tc>
          <w:tcPr>
            <w:tcW w:type="dxa" w:w="23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155</w:t>
            </w:r>
          </w:p>
        </w:tc>
        <w:tc>
          <w:tcPr>
            <w:tcW w:type="dxa" w:w="23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231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GREEN</w:t>
            </w:r>
          </w:p>
        </w:tc>
        <w:tc>
          <w:tcPr>
            <w:tcW w:type="dxa" w:w="32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57…69</w:t>
            </w:r>
          </w:p>
        </w:tc>
        <w:tc>
          <w:tcPr>
            <w:tcW w:type="dxa" w:w="23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156</w:t>
            </w:r>
          </w:p>
        </w:tc>
        <w:tc>
          <w:tcPr>
            <w:tcW w:type="dxa" w:w="23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231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BLUE</w:t>
            </w:r>
          </w:p>
        </w:tc>
        <w:tc>
          <w:tcPr>
            <w:tcW w:type="dxa" w:w="32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108…121</w:t>
            </w:r>
          </w:p>
        </w:tc>
        <w:tc>
          <w:tcPr>
            <w:tcW w:type="dxa" w:w="23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157</w:t>
            </w:r>
          </w:p>
        </w:tc>
        <w:tc>
          <w:tcPr>
            <w:tcW w:type="dxa" w:w="23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231</w:t>
            </w:r>
          </w:p>
        </w:tc>
      </w:tr>
    </w:tbl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После выделения контура центр и ориентация квадрата оцениваются в плоскости BASE. Для квадратной симметричной детали yaw задается по модулю π/2. Преобразование RGB и цветовые маски используют документированные операции OpenCV; сам диапазон порогов является зафиксированным параметром проекта [3, 6]. Реализация разделяет геометрическую валидность кандидата, цветовую метку и уверенность. Ошибка кадра </w:t>
      </w:r>
      <w:r>
        <w:rPr>
          <w:rFonts w:ascii="Consolas" w:hAnsi="Consolas" w:eastAsia="Consolas" w:cs="Consolas"/>
          <w:sz w:val="20"/>
          <w:lang w:val="ru-RU"/>
        </w:rPr>
        <w:t>NO_FRAME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STALE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или </w:t>
      </w:r>
      <w:r>
        <w:rPr>
          <w:rFonts w:ascii="Consolas" w:hAnsi="Consolas" w:eastAsia="Consolas" w:cs="Consolas"/>
          <w:sz w:val="20"/>
          <w:lang w:val="ru-RU"/>
        </w:rPr>
        <w:t>INVALID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возвращает пустой набор детекций с причиной; система не подставляет ground truth или старое наблюдение.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5.3. Граница информации и результат проверки perception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Объектные имена, истинный цвет, истинная координата, идеальная маска и внутренние структуры </w:t>
      </w:r>
      <w:r>
        <w:rPr>
          <w:rFonts w:ascii="Consolas" w:hAnsi="Consolas" w:eastAsia="Consolas" w:cs="Consolas"/>
          <w:sz w:val="20"/>
          <w:lang w:val="ru-RU"/>
        </w:rPr>
        <w:t>MjModel/MjData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недоступны perception и controller. Статический аудит M4 не обнаружил запрещенных ссылок. Это снижает риск утечки истины в алгоритм, но само по себе не доказывает безошибочность классификатора.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основной серии V03 первый публичный кадр классифицировал 90 из 90 объектов в пределах трех зафиксированных цветовых классов и зарегистрированных условий. Средняя оценка ошибки XY относительно post-run ground truth составила 0,415 мм, максимальная — 1,316 мм; средняя yaw-ошибка с учетом симметрии — 0,01347 рад. Это условные показатели выбранного синтетического рендера и сценариев, не точность реальной камеры.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355709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Матрица_цветов_M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57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5.2 - Сопоставление первого публичного определения цвета с ground truth в V03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6. Планирование траекторий и контроль столкновений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6.1. Полный план цикла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Планировщик получает оценку M4, текущее состояние суставов, геометрию модели и зарезервированный слот; он не читает истину evaluator. До исполнения строится полный план: подход и ориентация → предварительное положение → вертикальный спуск → закрытие захвата → пробный подъем → перенос → предварительное размещение → спуск в слот → раскрытие → вертикальный отход и безопасное возвращение. При невозможности любого обязательного участка отклоняется план целиком; команды для частичного или неподтвержденного плана не выпускаются.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Для статичной ячейки используется детерминированная стратегия: безопасный вертикальный подъем, перенос с проверкой непрерывности IK-ветви и, при необходимости, движение по transfer ring, затем вертикальный спуск. Для сглаживания межточечных переходов используются PCHIP-интерполяция в нормированных координатах и профиль quintic rest-to-rest на границах фаз. Время траектории ограничивается заданными скоростями и ускорениями виртуальных суставов; контактные участки замедлены.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6.2. Проверка столкновений и смысл запаса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Для каждого дискретного отсчета проверяются коллизии объемной геометрии манипулятора, допустимые пары звеньев, стол, стены лотков, цель и нецелевые объекты. Контактные силы вычисляет модель решателя MuJoCo; результаты зависят от параметров контактной модели и не являются измерением реального захвата [2, 6]. Сначала применяются консервативные AABB-оценки, близкие пары уточняются signed distance MuJoCo с ограничением 0,05 м. Статический запас для робота и препятствий задан 5 мм; для переносимого объекта и воспринятых нецелевых объектов — 15 мм. Контакт пальцев с выбранной целью разрешен только в перечисленных фазах захвата и укладки.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Базовый шаг плановой дискретизации — 1 мм по консервативной оценке перемещения геометрии; центральный маршрут также сравнивался с шагом 0,5 мм. Физическая модель интегрируется с шагом 0,002 с (500 Гц), а контроллер обновляет команды каждые 0,01 с. Положительный зазор на дискретных отсчетах не является непрерывной математической гарантией отсутствия столкновения между точками траектории. Если планировщик не подтверждает безопасный маршрут, система фиксирует отказ и не движется по нему.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M9 для принятых планов минимальная зарегистрированная дискретная нижняя оценка зазора составила 1,250 мм. Это сеточно-зависимая метрика campaign analysis, а не доказательство непрерывного зазора 1,250 мм и не подмена 5-мм требования для соответствующих пар. M5 отдельно проверял случаи тонкого препятствия между свободными конечными конфигурациями.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85454" cy="48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Траектория_M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5454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6.1 - Измеренная TCP-траектория полного успешного смешанного виртуального прогона M9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7. Конечный автомат и обработка отказов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Контроллер M6 реализован как конечный автомат с явными guard-условиями, идентификаторами запросов, временными ограничениями и ограниченным числом повторов. Основной цикл содержит состояния INIT, OBSERVE, SELECT, PLAN, APPROACH, DESCEND, GRASP, VERIFY_HOLD, TRANSFER, PLACE, RELEASE, RETREAT и VERIFY_PLACE. Для каждого состояния ограничены разрешенные команды и доступные входные данные.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После инициализации контроллер запрашивает новый кадр, выбирает только объект с поддерживаемым цветом и резервирует его track вместе со свободным слотом. Перед первым движением требуется полный успешный план. Закрытие пальцев не считается доказательством удержания: выполняется тестовый подъем с публичным сигналом контакта и новым наблюдением. Перенос допускается лишь при подтвержденном удержании. Отпускание не означает сортировку: после отхода отдельная placement-камера должна подтвердить класс, зону и слот. Неоднозначное подтверждение переводит слот в карантин, а не в свободное состояние.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Безопасные исходы включают </w:t>
      </w:r>
      <w:r>
        <w:rPr>
          <w:rFonts w:ascii="Consolas" w:hAnsi="Consolas" w:eastAsia="Consolas" w:cs="Consolas"/>
          <w:sz w:val="20"/>
          <w:lang w:val="ru-RU"/>
        </w:rPr>
        <w:t>SKIPPED_UNKNOWN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SKIPPED_UNREACHABLE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SAFE_FAILURE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ограниченное </w:t>
      </w:r>
      <w:r>
        <w:rPr>
          <w:rFonts w:ascii="Consolas" w:hAnsi="Consolas" w:eastAsia="Consolas" w:cs="Consolas"/>
          <w:sz w:val="20"/>
          <w:lang w:val="ru-RU"/>
        </w:rPr>
        <w:t>RECOVER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и защелкнутый </w:t>
      </w:r>
      <w:r>
        <w:rPr>
          <w:rFonts w:ascii="Consolas" w:hAnsi="Consolas" w:eastAsia="Consolas" w:cs="Consolas"/>
          <w:sz w:val="20"/>
          <w:lang w:val="ru-RU"/>
        </w:rPr>
        <w:t>SAFE_STOP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. При неизвестном состоянии груза раскрытие автоматически не выполняется. Состояние партии </w:t>
      </w:r>
      <w:r>
        <w:rPr>
          <w:rFonts w:ascii="Consolas" w:hAnsi="Consolas" w:eastAsia="Consolas" w:cs="Consolas"/>
          <w:sz w:val="20"/>
          <w:lang w:val="ru-RU"/>
        </w:rPr>
        <w:t>DONE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означает, что обработка завершена, но не эквивалентно 100%-ной сортировке; успешность партии оценивается отдельно. Разница между состоянием алгоритма и ground truth evaluator принципиальна для корректных метрик.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348783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SM_M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8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7.1 - Основные состояния контроллера и связи цикла сортировки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8. Программная реализация и интеграция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Проект разделен на Python-пакеты </w:t>
      </w:r>
      <w:r>
        <w:rPr>
          <w:rFonts w:ascii="Consolas" w:hAnsi="Consolas" w:eastAsia="Consolas" w:cs="Consolas"/>
          <w:sz w:val="20"/>
          <w:lang w:val="ru-RU"/>
        </w:rPr>
        <w:t>camera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perception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kinematics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planning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controller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и </w:t>
      </w:r>
      <w:r>
        <w:rPr>
          <w:rFonts w:ascii="Consolas" w:hAnsi="Consolas" w:eastAsia="Consolas" w:cs="Consolas"/>
          <w:sz w:val="20"/>
          <w:lang w:val="ru-RU"/>
        </w:rPr>
        <w:t>integration</w:t>
      </w:r>
      <w:r>
        <w:rPr>
          <w:rFonts w:ascii="Times New Roman" w:hAnsi="Times New Roman" w:eastAsia="Times New Roman" w:cs="Times New Roman"/>
          <w:sz w:val="24"/>
          <w:lang w:val="ru-RU"/>
        </w:rPr>
        <w:t>. Модуль кинематики независим от решателя MuJoCo; физический движок используется при независимой сверке и интеграции. Perception принимает публичный CameraFrame, формирует кандидатов и не импортирует evaluator. Планировщик возвращает именованные фазы и структурированную причину отказа. FSM выпускает только команды из полного принятого плана. Runtime-адаптер переводит их в целевые положения виртуальных актуаторов и записывает события для повторного анализа.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Основные фиксированные программные зависимости интеграции: CPython 3.12.10, MuJoCo 3.14.0, NumPy 2.5.3, OpenCV headless 4.14.0.94, Pillow 12.0 и PyYAML 6.0.3. Точный список и версии находятся в </w:t>
      </w:r>
      <w:r>
        <w:rPr>
          <w:rFonts w:ascii="Consolas" w:hAnsi="Consolas" w:eastAsia="Consolas" w:cs="Consolas"/>
          <w:sz w:val="20"/>
          <w:lang w:val="ru-RU"/>
        </w:rPr>
        <w:t>04_Программа/integration/requirements.txt</w:t>
      </w:r>
      <w:r>
        <w:rPr>
          <w:rFonts w:ascii="Times New Roman" w:hAnsi="Times New Roman" w:eastAsia="Times New Roman" w:cs="Times New Roman"/>
          <w:sz w:val="24"/>
          <w:lang w:val="ru-RU"/>
        </w:rPr>
        <w:t>; конфигурация сцены и исполнения хранится отдельно от кода. Проект не использует Arduino, ROS, промышленный интерфейс приводов или физическую электронику.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Телеметрия связывает run ID с исходным сценарием, seed, версиями модели и конфигурации, входными кадрами, переходами FSM, планами, суставными командами, контактными эпизодами и отчетом evaluator. Видео строится после завершения управляющего прогона из сохраненного потока состояний; видеорендер не возвращает информацию в controller. Запись M9 </w:t>
      </w:r>
      <w:r>
        <w:rPr>
          <w:rFonts w:ascii="Consolas" w:hAnsi="Consolas" w:eastAsia="Consolas" w:cs="Consolas"/>
          <w:sz w:val="20"/>
          <w:lang w:val="ru-RU"/>
        </w:rPr>
        <w:t>single_red_center-2d771e58cc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содержит 826 последовательных кадров, 1280×720, 25 кадр/с, длительность 33,04 с; все кадры декодированы, пропусков нет. Это ускоренное представление виртуальной симуляции.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9. Методика виртуальных испытаний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9.1. Протокол и воспроизводимость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Испытательная кампания </w:t>
      </w:r>
      <w:r>
        <w:rPr>
          <w:rFonts w:ascii="Consolas" w:hAnsi="Consolas" w:eastAsia="Consolas" w:cs="Consolas"/>
          <w:sz w:val="20"/>
          <w:lang w:val="ru-RU"/>
        </w:rPr>
        <w:t>M9-RC-2026-01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выполнена по заранее замороженному протоколу </w:t>
      </w:r>
      <w:r>
        <w:rPr>
          <w:rFonts w:ascii="Consolas" w:hAnsi="Consolas" w:eastAsia="Consolas" w:cs="Consolas"/>
          <w:sz w:val="20"/>
          <w:lang w:val="ru-RU"/>
        </w:rPr>
        <w:t>M9-campaign-v1.2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; SHA-256 протокола — </w:t>
      </w:r>
      <w:r>
        <w:rPr>
          <w:rFonts w:ascii="Consolas" w:hAnsi="Consolas" w:eastAsia="Consolas" w:cs="Consolas"/>
          <w:sz w:val="20"/>
          <w:lang w:val="ru-RU"/>
        </w:rPr>
        <w:t>be7bb93f56c04ad2ea1d7cfee033c52ab6182fb09988b5dce8321c625445a765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. Зафиксирована ревизия симуляции </w:t>
      </w:r>
      <w:r>
        <w:rPr>
          <w:rFonts w:ascii="Consolas" w:hAnsi="Consolas" w:eastAsia="Consolas" w:cs="Consolas"/>
          <w:sz w:val="20"/>
          <w:lang w:val="ru-RU"/>
        </w:rPr>
        <w:t>ffb3727d2c163b085c5957c2ee1e5f053700cb15</w:t>
      </w:r>
      <w:r>
        <w:rPr>
          <w:rFonts w:ascii="Times New Roman" w:hAnsi="Times New Roman" w:eastAsia="Times New Roman" w:cs="Times New Roman"/>
          <w:sz w:val="24"/>
          <w:lang w:val="ru-RU"/>
        </w:rPr>
        <w:t>. Зарегистрировано и исполнено 98 запусков; исключенных неудачных прогонов нет. Для рандомизированных сценариев сохранены seed, конфигурация и контрольные суммы манифестов. Анализатор сопоставляет каждый trial с raw-run и проверяет сохраненные свидетельства.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Независимой единицей основного статистического сравнения является партия из трех объектов с отдельным seed, а не каждый из 90 объектов. Для оценки доли полных партий используется интервал Уилсона 95%. Серии шума содержат по 10 парных seed, поэтому их показатели не переносятся на другие диапазоны условий. Все результаты получены в модели MuJoCo; натурные измерения не проводились.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9.2. Сценарии и измеряемые показатели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Кампания включает фиксированные одиночные RED/GREEN/BLUE сцены; партию из двух объектов каждого цвета; 30 случайных смешанных трехобъектных партий; граничные и блокированные цели; объекты неизвестного цвета; близкую пару; отказы или устаревание камер; варианты шума и освещения; стресс трения; повтор seed для оценки воспроизводимости. Протокол измеряет полноту партии, правильные и неверные зоны, цветовые метки, ошибку XY и yaw, отказ/причину, контакты, ограничения, длительность, длину TCP-пути и совпадение повторного запуска.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Для V03 полный проход означает фактическую виртуальную укладку всех трех объектов партии по ground truth evaluator в правильные цветовые зоны. Причина отказа планировщика учитывается отдельно: предотвращенный опасный захват — корректная безопасная реакция, но не успешная сортировка. Аналогично ожидаемый safe stop в отказном сценарии может означать прохождение именно теста безопасности, а не функциональное размещение объекта.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10. Результаты и их анализ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10.1. Основной приемочный результат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В V03 полная сортировка получена в 21 из 30 партий, то есть 70,0% [6]; 95%-ный интервал Уилсона равен 52,1…83,3%. Заранее установленная цель составляла не менее 27 из 30 (90%). Следовательно,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основной критерий надежности не выполнен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. Правильными оказались 73 из 90 объектных укладок (81,1%); 17 целей безопасно отклонены планировщиком с причиной </w:t>
      </w:r>
      <w:r>
        <w:rPr>
          <w:rFonts w:ascii="Consolas" w:hAnsi="Consolas" w:eastAsia="Consolas" w:cs="Consolas"/>
          <w:sz w:val="20"/>
          <w:lang w:val="ru-RU"/>
        </w:rPr>
        <w:t>COLLISION_GRASP</w:t>
      </w:r>
      <w:r>
        <w:rPr>
          <w:rFonts w:ascii="Times New Roman" w:hAnsi="Times New Roman" w:eastAsia="Times New Roman" w:cs="Times New Roman"/>
          <w:sz w:val="24"/>
          <w:lang w:val="ru-RU"/>
        </w:rPr>
        <w:t>, команды движения по отклоненным целям не выдавались. Неверных цветовых лотков в V03 не зафиксировано; запрещенных контактных эпизодов и зарегистрированных превышений суставных/силовых лимитов в этой серии не было.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Медианное модельное время партии составило 409,605 с, медианное wall-clock время — 241,686 с. Медианная длина TCP-пути — 8,166 м. Wall-clock зависит от ПК и не характеризует быстродействие реального манипулятора. Отсутствие запрещенного контакта на выборке V03 не компенсирует низкую полноту сортировки и не является полной гарантией безопасности.</w:t>
      </w:r>
    </w:p>
    <w:p>
      <w:pPr>
        <w:keepNext/>
        <w:spacing w:line="240" w:lineRule="auto" w:before="60" w:after="80"/>
        <w:ind w:firstLine="0"/>
        <w:jc w:val="left"/>
      </w:pPr>
      <w:r>
        <w:rPr>
          <w:rFonts w:ascii="Times New Roman" w:hAnsi="Times New Roman" w:eastAsia="Times New Roman" w:cs="Times New Roman"/>
          <w:sz w:val="24"/>
          <w:lang w:val="ru-RU"/>
        </w:rPr>
        <w:t>Таблица 10.1 - Основные итоги заранее зарегистрированных серий M9</w:t>
      </w:r>
    </w:p>
    <w:tbl>
      <w:tblPr>
        <w:tblStyle w:val="34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7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>Серия</w:t>
            </w:r>
          </w:p>
        </w:tc>
        <w:tc>
          <w:tcPr>
            <w:tcW w:type="dxa" w:w="16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>Прогоны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>Результат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  <w:lang w:val="ru-RU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27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V01: одиночные RED/GREEN/BLUE</w:t>
            </w:r>
          </w:p>
        </w:tc>
        <w:tc>
          <w:tcPr>
            <w:tcW w:type="dxa" w:w="16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3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3/3 размещены в нужных виртуальных зонах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Успех конкретных фиксированных сцен</w:t>
            </w:r>
          </w:p>
        </w:tc>
      </w:tr>
      <w:tr>
        <w:trPr>
          <w:cantSplit/>
        </w:trPr>
        <w:tc>
          <w:tcPr>
            <w:tcW w:type="dxa" w:w="27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V02: по два объекта каждого цвета</w:t>
            </w:r>
          </w:p>
        </w:tc>
        <w:tc>
          <w:tcPr>
            <w:tcW w:type="dxa" w:w="16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1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3/6 сортированы; один запрещенный контакт; SAFE_STOP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Партия не прошла</w:t>
            </w:r>
          </w:p>
        </w:tc>
      </w:tr>
      <w:tr>
        <w:trPr>
          <w:cantSplit/>
        </w:trPr>
        <w:tc>
          <w:tcPr>
            <w:tcW w:type="dxa" w:w="27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V03: случайная смешанная партия</w:t>
            </w:r>
          </w:p>
        </w:tc>
        <w:tc>
          <w:tcPr>
            <w:tcW w:type="dxa" w:w="16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30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21/30 полных партий; 73/90 верных укладок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Главный критерий 27/30 не достигнут</w:t>
            </w:r>
          </w:p>
        </w:tc>
      </w:tr>
      <w:tr>
        <w:trPr>
          <w:cantSplit/>
        </w:trPr>
        <w:tc>
          <w:tcPr>
            <w:tcW w:type="dxa" w:w="27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V03: первый публичный кадр</w:t>
            </w:r>
          </w:p>
        </w:tc>
        <w:tc>
          <w:tcPr>
            <w:tcW w:type="dxa" w:w="16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90 объектов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90/90 цветов классифицированы верно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В рамках фиксированной палитры и условий</w:t>
            </w:r>
          </w:p>
        </w:tc>
      </w:tr>
      <w:tr>
        <w:trPr>
          <w:cantSplit/>
        </w:trPr>
        <w:tc>
          <w:tcPr>
            <w:tcW w:type="dxa" w:w="27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V07: RGB noise σ=0/4/8</w:t>
            </w:r>
          </w:p>
        </w:tc>
        <w:tc>
          <w:tcPr>
            <w:tcW w:type="dxa" w:w="16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10 на уровень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10/10 ожидаемых исходов на каждом уровне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Небольшая парная выборка</w:t>
            </w:r>
          </w:p>
        </w:tc>
      </w:tr>
      <w:tr>
        <w:trPr>
          <w:cantSplit/>
        </w:trPr>
        <w:tc>
          <w:tcPr>
            <w:tcW w:type="dxa" w:w="27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V14: повторяемость</w:t>
            </w:r>
          </w:p>
        </w:tc>
        <w:tc>
          <w:tcPr>
            <w:tcW w:type="dxa" w:w="16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1 повторная пара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14/14 функциональных сравнений совпали</w:t>
            </w:r>
          </w:p>
        </w:tc>
        <w:tc>
          <w:tcPr>
            <w:tcW w:type="dxa" w:w="276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  <w:lang w:val="ru-RU"/>
              </w:rPr>
              <w:t>Один зафиксированный seed</w:t>
            </w:r>
          </w:p>
        </w:tc>
      </w:tr>
    </w:tbl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362277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Результаты_серий_M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2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10.1 - Доли выполнения ожидаемого результата по зарегистрированным сериям M9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На рисунке 10.1 столбцы показывают выполнение критериев соответствующих серий, а усы — 95%-ный интервал Уилсона. Для серии V10 ожидаемый исход означал безопасное ограничение отказа, а не успешную сортировку; поэтому 10/10 нельзя трактовать как 100% эффективности переноса.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10.2. Качество восприятия и ограничения интеграции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В первой публичной съемке V03 матрица классификации содержит 30 верных RED, 30 GREEN и 30 BLUE; ложных классов и пропусков в этой выборке нет. Для 90 сопоставленных объектов средняя ошибка XY составила 0,415 мм, максимальная — 1,316 мм; средняя ошибка yaw с учетом квадратной симметрии — 0,01347 рад, максимальная — 0,08641 рад. Это агрегаты первого наблюдения, рассчитанные из сохраненных результатов прогонов; они не характеризуют точность физической камеры и не являются независимыми дополнительными испытаниями. В то же время perception не объясняет всю полноту цикла. В V06 серый объект привел к безопасной остановке </w:t>
      </w:r>
      <w:r>
        <w:rPr>
          <w:rFonts w:ascii="Consolas" w:hAnsi="Consolas" w:eastAsia="Consolas" w:cs="Consolas"/>
          <w:sz w:val="20"/>
          <w:lang w:val="ru-RU"/>
        </w:rPr>
        <w:t>SCENE_UNCERTAIN_LIMIT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хотя строгий сценарный критерий ожидал объяснимый пропуск </w:t>
      </w:r>
      <w:r>
        <w:rPr>
          <w:rFonts w:ascii="Consolas" w:hAnsi="Consolas" w:eastAsia="Consolas" w:cs="Consolas"/>
          <w:sz w:val="20"/>
          <w:lang w:val="ru-RU"/>
        </w:rPr>
        <w:t>UNKNOWN_COLOR_CONFIRMED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. При масштабах света 0,70 и 1,30 независимый evaluator видел верную укладку, но сам контроллер не подтвердил ее по placement-камере и записал </w:t>
      </w:r>
      <w:r>
        <w:rPr>
          <w:rFonts w:ascii="Consolas" w:hAnsi="Consolas" w:eastAsia="Consolas" w:cs="Consolas"/>
          <w:sz w:val="20"/>
          <w:lang w:val="ru-RU"/>
        </w:rPr>
        <w:t>PLACE_VERIFICATION_TIMEOUT</w:t>
      </w:r>
      <w:r>
        <w:rPr>
          <w:rFonts w:ascii="Times New Roman" w:hAnsi="Times New Roman" w:eastAsia="Times New Roman" w:cs="Times New Roman"/>
          <w:sz w:val="24"/>
          <w:lang w:val="ru-RU"/>
        </w:rPr>
        <w:t>; зона была помещена в карантин. Таким образом, система предпочитает не засчитывать непроверенный результат, но её подтверждение укладки чувствительно к освещению.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В V08 два близких объекта разделялись визуально, однако оба захвата были отклонены из-за недостаточного безопасного зазора. В V02 после трех укладок партия остановилась из-за запрещенного контактного эпизода. Эти наблюдения указывают на два независимых направления улучшения: планирование укладки с учетом заполнения лотков и согласование фактического размещения с публичной камерой. Для оценки полноты также нужно анализировать 17 </w:t>
      </w:r>
      <w:r>
        <w:rPr>
          <w:rFonts w:ascii="Consolas" w:hAnsi="Consolas" w:eastAsia="Consolas" w:cs="Consolas"/>
          <w:sz w:val="20"/>
          <w:lang w:val="ru-RU"/>
        </w:rPr>
        <w:t>COLLISION_GRASP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отказов, не снимая защиту планировщика.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Матрица первых публичных классификаций и истинных классов приведена на рисунке 5.2.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10.3. Траектория и слежение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Рисунок 6.1 показывает фактическую измеренную TCP-траекторию представительного полного успешного прогона </w:t>
      </w:r>
      <w:r>
        <w:rPr>
          <w:rFonts w:ascii="Consolas" w:hAnsi="Consolas" w:eastAsia="Consolas" w:cs="Consolas"/>
          <w:sz w:val="20"/>
          <w:lang w:val="ru-RU"/>
        </w:rPr>
        <w:t>m9_random_mixed_three-e588219677</w:t>
      </w:r>
      <w:r>
        <w:rPr>
          <w:rFonts w:ascii="Times New Roman" w:hAnsi="Times New Roman" w:eastAsia="Times New Roman" w:cs="Times New Roman"/>
          <w:sz w:val="24"/>
          <w:lang w:val="ru-RU"/>
        </w:rPr>
        <w:t>. Он иллюстрирует геометрию одного принятого виртуального цикла и не является средней траекторией всех запусков. Ошибка слежения в M9 показана отдельно для поворотных осей в радианах и вертикального ползуна в миллиметрах: величины с разными единицами не объединены в одну шкалу.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331824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Ошибка_слеживания_M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18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10.3 - Ошибка слежения суставных координат в представительном прогоне</w:t>
      </w:r>
    </w:p>
    <w:p>
      <w:pPr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470" cy="354401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Кадр_успешного_виртуального_цикла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4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60" w:after="80"/>
        <w:ind w:firstLine="0"/>
        <w:jc w:val="center"/>
      </w:pPr>
      <w:r>
        <w:rPr>
          <w:rFonts w:ascii="Times New Roman" w:hAnsi="Times New Roman" w:eastAsia="Times New Roman" w:cs="Times New Roman"/>
          <w:sz w:val="24"/>
          <w:lang w:val="ru-RU"/>
        </w:rPr>
        <w:t>Рисунок 10.4 - Кадр завершенного виртуального цикла: вид сверху, состояние FSM и лоток RED</w:t>
      </w:r>
    </w:p>
    <w:p>
      <w:pPr>
        <w:pStyle w:val="3"/>
        <w:keepNext/>
        <w:ind w:firstLine="0"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10.4. Интерпретация и направления доработки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отдельных фиксированных сценах алгоритм выполняет полный цикл от изображения до правильной виртуальной укладки. В смешанных партиях обнаружение и первичная цветовая классификация оказались точными на 90 начальных наблюдениях V03, однако система не всегда находит допустимый collision-free захват или подтверждает placement-результат. Следовательно, предел основной серии находится преимущественно в интеграции геометрии захвата/планирования и подтверждения укладки, а не в зарегистрированных начальных цветовых метках. Это вывод для данной выборки, не доказательство того, что perception всегда безошибочен.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 совокупности 84 из 98 прогонов выполнили свой заранее ожидавшийся исход. Эта доля объединяет разные типы проверок, включая безопасный отказ; ее нельзя интерпретировать как долю успешно отсортированных партий.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При дальнейшей работе следует отдельно исследовать причины </w:t>
      </w:r>
      <w:r>
        <w:rPr>
          <w:rFonts w:ascii="Consolas" w:hAnsi="Consolas" w:eastAsia="Consolas" w:cs="Consolas"/>
          <w:sz w:val="20"/>
          <w:lang w:val="ru-RU"/>
        </w:rPr>
        <w:t>COLLISION_GRASP</w:t>
      </w:r>
      <w:r>
        <w:rPr>
          <w:rFonts w:ascii="Times New Roman" w:hAnsi="Times New Roman" w:eastAsia="Times New Roman" w:cs="Times New Roman"/>
          <w:sz w:val="24"/>
          <w:lang w:val="ru-RU"/>
        </w:rPr>
        <w:t>, планировать слот с учетом уже размещенных объектов, устранить несогласованность локальных и терминальных статусов в случаях неуспешного подтверждения, добавить reason-coded реакцию на серые/низкоконтрастные сцены и повторить V03 на новой неизменной версии. Эти шаги не меняют и не «улучшают задним числом» результаты кампании M9.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11. Ограничения и границы выводов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1. Физический прототип не собирался. Не измерялись точность настоящей камеры, люфт, ресурс приводов, реальное усилие пальцев, трение материала, вибрация, износ и разброс изготовления. 2. Камеры выдают синтетические кадры. Модель не покрывает полный диапазон бликов, теней, экспозиции, баланса белого, загрязнения оптики, реальной калибровки и окклюзий. 3. Моделируются неподвижный стол, одиночный слой прямоугольных цветных кубоидов и три известных цветовых класса. Конвейер, динамические объекты, человеческое вмешательство, штабелирование и свободная куча деталей не входят в область работы. 4. Геометрия и свойства материалов — параметрические допущения. Напечатанный материал, неполный инфилл, анизотропия и реальные крепления не представлены как измеренные свойства физического устройства. 5. Планировщик дискретно проверяет путь; он не дает формальной непрерывной гарантии отсутствия контакта между отсчетами. Контактный решатель и заданные коэффициенты определяют исход захвата внутри программной модели. 6. Основная кампания конечна: 30 seeded партий V03. Интервал Уилсона отражает неопределенность этой выборки и не гарантирует вероятность для иных предметов, материалов или сцен. Серии по 10 seed тем более ограничены. 7. Ускорение видео и wall-clock время зависят от среды исполнения и не прогнозируют производительность промышленной установки.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Выводы следует формулировать как «в зарегистрированных виртуальных сценариях модель показала…». Нельзя переносить их на физический манипулятор без изготовления, калибровки, измерений и отдельной натурной кампании.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ЗАКЛЮЧЕНИЕ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Разработана и интегрирована параметрическая программная ячейка сортировки объектов по цвету с манипулятором SCARA R–R–P–R. Заданы геометрия, координатные кадры, ограничения суставов, два RGB-наблюдательных ракурса, зоны сортировки, контактный захват и общий SSOT. Реализованы аналитические FK/IK, выделение и классификация объектов, оценка положения по гомографии, детерминированное планирование с проверкой коллизий, FSM с ограниченными отказами и независимый оценщик виртуального результата.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Математические проверки M3 показали согласованность кинематических преобразований с машинной точностью на заданных выборках. Perception M4 классифицировал 90 из 90 первых публичных объектов V03 в пределах зафиксированных цветов и условий. В интеграционной кампании M9 выполнены все 98 зарегистрированных запусков и сохранены исходные данные, seed и метаданные. При этом главный критерий V03 не достигнут: получено 21/30 полных партий при целевом значении 27/30; верно размещены 73/90 объектов. Планировщик безопасно отклонил 17 захватов с причиной </w:t>
      </w:r>
      <w:r>
        <w:rPr>
          <w:rFonts w:ascii="Consolas" w:hAnsi="Consolas" w:eastAsia="Consolas" w:cs="Consolas"/>
          <w:sz w:val="20"/>
          <w:lang w:val="ru-RU"/>
        </w:rPr>
        <w:t>COLLISION_GRASP</w:t>
      </w:r>
      <w:r>
        <w:rPr>
          <w:rFonts w:ascii="Times New Roman" w:hAnsi="Times New Roman" w:eastAsia="Times New Roman" w:cs="Times New Roman"/>
          <w:sz w:val="24"/>
          <w:lang w:val="ru-RU"/>
        </w:rPr>
        <w:t>, но это снижает функциональную полноту. Кроме того, V02 выявил запрещенный контакт, а ряд случаев обнаружил ограничения подтверждения укладки и UNKNOWN-обработки.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Таким образом, программная модель демонстрирует работоспособность отдельных полных циклов и воспроизводимое поведение на зарегистрированных сценариях, но не подтверждает заданный порог надежности смешанной сортировки. Никакие физические испытания или измерения не проводились. Следующая инженерная итерация должна улучшать достижимость безопасных захватов и подтверждение результата, после чего необходим повтор приемочной кампании на заранее зафиксированном протоколе.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СПИСОК ИСПОЛЬЗОВАННЫХ ИСТОЧНИКОВ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1. Lynch K. M., Park F. C.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Modern Robotics: Mechanics, Planning, and Control.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Cambridge University Press, 2017. Ресурсы глав по прямой и обратной кинематике: https://modernrobotics.northwestern.edu/nu-gm-book-resource/ (дата обращения: 27.09.2026). 2. Google DeepMind.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MuJoCo Documentation: Modeling; XML Reference; API Reference.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URL: https://mujoco.readthedocs.io/en/stable/ (дата обращения: 27.09.2026). Для воспроизводимости проект фиксирует программную версию MuJoCo 3.14.0. 3. OpenCV.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OpenCV 4.12.0 Documentation: Color Space Conversions; Features2D + Homography.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URL: https://docs.opencv.org/4.12.0/d8/d01/group__imgproc__color__conversions.html; https://docs.opencv.org/4.12.0/d7/dff/tutorial_feature_homography.html (дата обращения: 27.09.2026). В проекте использована библиотека OpenCV 4.14.0.94; справка цитируется как описание API операций цветового преобразования и гомографии. 4. NIST.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Guide to the SI, Appendix B.9: Factors for units listed by kind of quantity or field of science.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URL: https://www.nist.gov/pml/special-publication-811/nist-guide-si-appendix-b-conversion-factors/nist-guide-si-appendix-b9 (дата обращения: 27.09.2026). 5. Prusa Polymers. </w:t>
      </w:r>
      <w:r>
        <w:rPr>
          <w:rFonts w:ascii="Times New Roman" w:hAnsi="Times New Roman" w:eastAsia="Times New Roman" w:cs="Times New Roman"/>
          <w:b/>
          <w:sz w:val="24"/>
          <w:lang w:val="ru-RU"/>
        </w:rPr>
        <w:t>Prusament PLA Technical Data Sheet.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URL: https://prusament.com/wp-content/uploads/2022/10/PLA_Prusament_TDS_2021_10_EN.pdf (дата обращения: 27.09.2026). Используется номинальная плотность материала для расчетной массы модели; свойства физически изготовленных деталей не измерялись. 6. Проектная документация M1–M9: </w:t>
      </w:r>
      <w:r>
        <w:rPr>
          <w:rFonts w:ascii="Consolas" w:hAnsi="Consolas" w:eastAsia="Consolas" w:cs="Consolas"/>
          <w:sz w:val="20"/>
          <w:lang w:val="ru-RU"/>
        </w:rPr>
        <w:t>02_Спецификация/Архитектура.md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Кинематика.md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Зрение_и_калибровка.md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Траектории_и_коллизии.md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FSM.md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Запись_и_телеметрия.md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SSOT </w:t>
      </w:r>
      <w:r>
        <w:rPr>
          <w:rFonts w:ascii="Consolas" w:hAnsi="Consolas" w:eastAsia="Consolas" w:cs="Consolas"/>
          <w:sz w:val="20"/>
          <w:lang w:val="ru-RU"/>
        </w:rPr>
        <w:t>02_Спецификация/параметры_системы.yaml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протокол и отчет M9 </w:t>
      </w:r>
      <w:r>
        <w:rPr>
          <w:rFonts w:ascii="Consolas" w:hAnsi="Consolas" w:eastAsia="Consolas" w:cs="Consolas"/>
          <w:sz w:val="20"/>
          <w:lang w:val="ru-RU"/>
        </w:rPr>
        <w:t>07_Испытания/Методика.md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campaign.yaml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campaign_results.json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Анализ.md</w:t>
      </w:r>
      <w:r>
        <w:rPr>
          <w:rFonts w:ascii="Times New Roman" w:hAnsi="Times New Roman" w:eastAsia="Times New Roman" w:cs="Times New Roman"/>
          <w:sz w:val="24"/>
          <w:lang w:val="ru-RU"/>
        </w:rPr>
        <w:t>. Исходные версии сохранены в проекте.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ПРИЛОЖЕНИЕ А. Структура программного комплекта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Редактируемые исходники, полный код и проверочные материалы хранятся в проекте:</w:t>
      </w:r>
    </w:p>
    <w:p>
      <w:pPr>
        <w:spacing w:line="300" w:lineRule="auto"/>
        <w:ind w:left="454" w:hanging="255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— </w:t>
      </w:r>
      <w:r>
        <w:rPr>
          <w:rFonts w:ascii="Consolas" w:hAnsi="Consolas" w:eastAsia="Consolas" w:cs="Consolas"/>
          <w:sz w:val="20"/>
          <w:lang w:val="ru-RU"/>
        </w:rPr>
        <w:t>02_Спецификация/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архитектура, SSOT, геометрия, кинематика, perception, планирование, FSM и телеметрия;</w:t>
      </w:r>
    </w:p>
    <w:p>
      <w:pPr>
        <w:spacing w:line="300" w:lineRule="auto"/>
        <w:ind w:left="454" w:hanging="255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— </w:t>
      </w:r>
      <w:r>
        <w:rPr>
          <w:rFonts w:ascii="Consolas" w:hAnsi="Consolas" w:eastAsia="Consolas" w:cs="Consolas"/>
          <w:sz w:val="20"/>
          <w:lang w:val="ru-RU"/>
        </w:rPr>
        <w:t>03_Модель_и_схемы/source/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MJCF-модель и исходники диаграмм;</w:t>
      </w:r>
    </w:p>
    <w:p>
      <w:pPr>
        <w:spacing w:line="300" w:lineRule="auto"/>
        <w:ind w:left="454" w:hanging="255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— </w:t>
      </w:r>
      <w:r>
        <w:rPr>
          <w:rFonts w:ascii="Consolas" w:hAnsi="Consolas" w:eastAsia="Consolas" w:cs="Consolas"/>
          <w:sz w:val="20"/>
          <w:lang w:val="ru-RU"/>
        </w:rPr>
        <w:t>04_Программа/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Python-пакеты камеры, зрения, кинематики, планирования, контроллера и интеграции;</w:t>
      </w:r>
    </w:p>
    <w:p>
      <w:pPr>
        <w:spacing w:line="300" w:lineRule="auto"/>
        <w:ind w:left="454" w:hanging="255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— </w:t>
      </w:r>
      <w:r>
        <w:rPr>
          <w:rFonts w:ascii="Consolas" w:hAnsi="Consolas" w:eastAsia="Consolas" w:cs="Consolas"/>
          <w:sz w:val="20"/>
          <w:lang w:val="ru-RU"/>
        </w:rPr>
        <w:t>05_Верификация/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тесты, отчеты математической и интеграционной верификации, воспроизводимые прогоны;</w:t>
      </w:r>
    </w:p>
    <w:p>
      <w:pPr>
        <w:spacing w:line="300" w:lineRule="auto"/>
        <w:ind w:left="454" w:hanging="255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— </w:t>
      </w:r>
      <w:r>
        <w:rPr>
          <w:rFonts w:ascii="Consolas" w:hAnsi="Consolas" w:eastAsia="Consolas" w:cs="Consolas"/>
          <w:sz w:val="20"/>
          <w:lang w:val="ru-RU"/>
        </w:rPr>
        <w:t>06_Медиа/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MP4 и связанные кадры/манифесты;</w:t>
      </w:r>
    </w:p>
    <w:p>
      <w:pPr>
        <w:spacing w:line="300" w:lineRule="auto"/>
        <w:ind w:left="454" w:hanging="255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— </w:t>
      </w:r>
      <w:r>
        <w:rPr>
          <w:rFonts w:ascii="Consolas" w:hAnsi="Consolas" w:eastAsia="Consolas" w:cs="Consolas"/>
          <w:sz w:val="20"/>
          <w:lang w:val="ru-RU"/>
        </w:rPr>
        <w:t>07_Испытания/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зафиксированный протокол, raw runs, CSV-таблицы, графики и анализ;</w:t>
      </w:r>
    </w:p>
    <w:p>
      <w:pPr>
        <w:spacing w:line="300" w:lineRule="auto"/>
        <w:ind w:left="454" w:hanging="255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— </w:t>
      </w:r>
      <w:r>
        <w:rPr>
          <w:rFonts w:ascii="Consolas" w:hAnsi="Consolas" w:eastAsia="Consolas" w:cs="Consolas"/>
          <w:sz w:val="20"/>
          <w:lang w:val="ru-RU"/>
        </w:rPr>
        <w:t>08_Записка/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— редактируемый исходник этой записки, графические материалы, копии исходных таблиц M9 и сверка чисел.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Параметры запуска, seed и контрольные суммы следует брать из </w:t>
      </w:r>
      <w:r>
        <w:rPr>
          <w:rFonts w:ascii="Consolas" w:hAnsi="Consolas" w:eastAsia="Consolas" w:cs="Consolas"/>
          <w:sz w:val="20"/>
          <w:lang w:val="ru-RU"/>
        </w:rPr>
        <w:t>07_Испытания/campaign.yaml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, </w:t>
      </w:r>
      <w:r>
        <w:rPr>
          <w:rFonts w:ascii="Consolas" w:hAnsi="Consolas" w:eastAsia="Consolas" w:cs="Consolas"/>
          <w:sz w:val="20"/>
          <w:lang w:val="ru-RU"/>
        </w:rPr>
        <w:t>campaign_metadata.json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 и манифестов </w:t>
      </w:r>
      <w:r>
        <w:rPr>
          <w:rFonts w:ascii="Consolas" w:hAnsi="Consolas" w:eastAsia="Consolas" w:cs="Consolas"/>
          <w:sz w:val="20"/>
          <w:lang w:val="ru-RU"/>
        </w:rPr>
        <w:t>runs/&lt;run_id&gt;/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; агрегированные результаты повторно формируются штатным анализатором </w:t>
      </w:r>
      <w:r>
        <w:rPr>
          <w:rFonts w:ascii="Consolas" w:hAnsi="Consolas" w:eastAsia="Consolas" w:cs="Consolas"/>
          <w:sz w:val="20"/>
          <w:lang w:val="ru-RU"/>
        </w:rPr>
        <w:t>04_Программа/analyze_m9.py</w:t>
      </w:r>
      <w:r>
        <w:rPr>
          <w:rFonts w:ascii="Times New Roman" w:hAnsi="Times New Roman" w:eastAsia="Times New Roman" w:cs="Times New Roman"/>
          <w:sz w:val="24"/>
          <w:lang w:val="ru-RU"/>
        </w:rPr>
        <w:t xml:space="preserve">. Видео успешной одиночной сцены находится в </w:t>
      </w:r>
      <w:r>
        <w:rPr>
          <w:rFonts w:ascii="Consolas" w:hAnsi="Consolas" w:eastAsia="Consolas" w:cs="Consolas"/>
          <w:sz w:val="20"/>
          <w:lang w:val="ru-RU"/>
        </w:rPr>
        <w:t>06_Медиа/M9/single_red_center-2d771e58cc/симуляция.mp4</w:t>
      </w:r>
      <w:r>
        <w:rPr>
          <w:rFonts w:ascii="Times New Roman" w:hAnsi="Times New Roman" w:eastAsia="Times New Roman" w:cs="Times New Roman"/>
          <w:sz w:val="24"/>
          <w:lang w:val="ru-RU"/>
        </w:rPr>
        <w:t>.</w:t>
      </w:r>
    </w:p>
    <w:p>
      <w:pPr>
        <w:pStyle w:val="2"/>
        <w:keepNext/>
        <w:ind w:firstLine="0"/>
        <w:pageBreakBefore/>
        <w:suppressAutoHyphens w:val="true"/>
      </w:pPr>
      <w:r>
        <w:rPr>
          <w:rFonts w:ascii="Times New Roman" w:hAnsi="Times New Roman" w:eastAsia="Times New Roman" w:cs="Times New Roman"/>
          <w:b/>
          <w:i w:val="0"/>
          <w:sz w:val="32"/>
          <w:lang w:val="ru-RU"/>
        </w:rPr>
        <w:t>ПРИЛОЖЕНИЕ Б. Основной фрагмент кинематической реализации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 xml:space="preserve">Ниже приведена математическая форма, лежащая в основе модуля </w:t>
      </w:r>
      <w:r>
        <w:rPr>
          <w:rFonts w:ascii="Consolas" w:hAnsi="Consolas" w:eastAsia="Consolas" w:cs="Consolas"/>
          <w:sz w:val="20"/>
          <w:lang w:val="ru-RU"/>
        </w:rPr>
        <w:t>04_Программа/kinematics/scara.py</w:t>
      </w:r>
      <w:r>
        <w:rPr>
          <w:rFonts w:ascii="Times New Roman" w:hAnsi="Times New Roman" w:eastAsia="Times New Roman" w:cs="Times New Roman"/>
          <w:sz w:val="24"/>
          <w:lang w:val="ru-RU"/>
        </w:rPr>
        <w:t>; полный исполняемый исходник остается в программном комплекте. Расчет выполняется в SI, проверка суставных лимитов предшествует выдаче команды:</w:t>
      </w:r>
    </w:p>
    <w:p>
      <w:pPr>
        <w:keepLines/>
        <w:spacing w:before="40" w:after="160" w:line="240" w:lineRule="auto"/>
        <w:ind w:left="454" w:right="227" w:firstLine="0"/>
        <w:jc w:val="left"/>
      </w:pPr>
      <w:r>
        <w:rPr>
          <w:rFonts w:ascii="Consolas" w:hAnsi="Consolas" w:eastAsia="Consolas" w:cs="Consolas"/>
          <w:sz w:val="18"/>
          <w:lang w:val="ru-RU"/>
        </w:rPr>
        <w:t>function IK(x, y, z, yaw, q_current):</w:t>
        <w:br/>
        <w:t xml:space="preserve">    c2 = ((x-xb)^2 + (y-yb)^2 - L1^2 - L2^2) / (2*L1*L2)</w:t>
        <w:br/>
        <w:t xml:space="preserve">    if c2 is outside [-1, 1] beyond roundoff tolerance:</w:t>
        <w:br/>
        <w:t xml:space="preserve">        return UNREACHABLE_GEOMETRY</w:t>
        <w:br/>
        <w:t xml:space="preserve">    for q2 in [+acos(c2), -acos(c2)]:</w:t>
        <w:br/>
        <w:t xml:space="preserve">        q1 = atan2(y-yb, x-xb) - atan2(L2*sin(q2), L1+L2*cos(q2))</w:t>
        <w:br/>
        <w:t xml:space="preserve">        q3 = zb + 0.103 - z</w:t>
        <w:br/>
        <w:t xml:space="preserve">        q4 = yaw - q1 - q2</w:t>
        <w:br/>
        <w:t xml:space="preserve">        reject candidate if any physical joint limit is violated</w:t>
        <w:br/>
        <w:t xml:space="preserve">        verify candidate by independent FK residual</w:t>
        <w:br/>
        <w:t xml:space="preserve">    return admissible candidate nearest to q_current in normalized joint space</w:t>
      </w:r>
    </w:p>
    <w:p>
      <w:pPr>
        <w:widowControl/>
        <w:spacing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lang w:val="ru-RU"/>
        </w:rPr>
        <w:t>Этот фрагмент объясняет расчет, а не заменяет полный программный исходник и не утверждает наличие аппаратного контроллера.</w:t>
      </w:r>
    </w:p>
    <w:sectPr>
      <w:headerReference r:id="rId4" w:type="default"/>
      <w:pgSz w:w="11906" w:h="16838"/>
      <w:pgMar w:top="1417" w:right="850" w:bottom="850" w:left="1134" w:header="567" w:footer="454" w:gutter="0"/>
      <w:cols w:space="720" w:num="1"/>
      <w:docGrid w:linePitch="360" w:charSpace="0"/>
      <w:pgNumType w:start="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tarSymbol">
    <w:altName w:val="Aria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altName w:val="Symbol"/>
    <w:panose1 w:val="0501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222C3">
    <w:pPr>
      <w:pStyle w:val="23"/>
      <w:framePr w:wrap="around" w:vAnchor="text" w:hAnchor="margin" w:xAlign="center" w:y="1"/>
      <w:rPr>
        <w:rStyle w:val="14"/>
        <w:rFonts w:eastAsia="Calibri"/>
      </w:rPr>
    </w:pPr>
    <w:r>
      <w:rPr>
        <w:rFonts w:eastAsia="Calibri"/>
      </w:rPr>
      <w:fldChar w:fldCharType="begin"/>
    </w:r>
    <w:r>
      <w:rPr>
        <w:rStyle w:val="14"/>
        <w:rFonts w:eastAsia="Calibri"/>
      </w:rPr>
      <w:instrText xml:space="preserve">PAGE  </w:instrText>
    </w:r>
    <w:r>
      <w:rPr>
        <w:rFonts w:eastAsia="Calibri"/>
      </w:rPr>
      <w:fldChar w:fldCharType="end"/>
    </w:r>
  </w:p>
  <w:p w14:paraId="1650EDCC">
    <w:pPr>
      <w:pStyle w:val="2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firstLine="0"/>
      <w:jc w:val="center"/>
    </w:pPr>
    <w:fldSimple w:instr="PAGE">
      <w:r>
        <w:rPr>
          <w:rFonts w:ascii="Times New Roman" w:hAnsi="Times New Roman"/>
          <w:sz w:val="20"/>
        </w:rPr>
        <w:t>1</w:t>
      </w:r>
    </w:fldSimple>
  </w:p>
  <w:p>
    <w:pPr>
      <w:tabs>
        <w:tab w:pos="9921" w:val="right"/>
      </w:tabs>
      <w:spacing w:before="0" w:after="0"/>
      <w:ind w:firstLine="0"/>
      <w:jc w:val="left"/>
      <w:pBdr>
        <w:bottom w:val="single" w:sz="5" w:space="1" w:color="000000"/>
      </w:pBdr>
    </w:pPr>
    <w:r>
      <w:rPr>
        <w:rFonts w:ascii="Times New Roman" w:hAnsi="Times New Roman" w:eastAsia="Times New Roman" w:cs="Times New Roman"/>
        <w:i/>
        <w:sz w:val="21"/>
        <w:lang w:val="ru-RU"/>
      </w:rPr>
      <w:t>Кафедра АСОИУ</w:t>
    </w:r>
    <w:r>
      <w:rPr>
        <w:rFonts w:ascii="Times New Roman" w:hAnsi="Times New Roman" w:eastAsia="Times New Roman" w:cs="Times New Roman"/>
        <w:i/>
        <w:sz w:val="21"/>
        <w:lang w:val="ru-RU"/>
      </w:rPr>
      <w:tab/>
      <w:t>Моделирование роботов  |  Курсовой проект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74753"/>
    <w:multiLevelType w:val="multilevel"/>
    <w:tmpl w:val="00A74753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644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">
    <w:nsid w:val="05B8062E"/>
    <w:multiLevelType w:val="multilevel"/>
    <w:tmpl w:val="05B8062E"/>
    <w:lvl w:ilvl="0" w:tentative="0">
      <w:start w:val="1"/>
      <w:numFmt w:val="decimal"/>
      <w:suff w:val="space"/>
      <w:lvlText w:val="%1."/>
      <w:lvlJc w:val="left"/>
      <w:pPr>
        <w:ind w:left="283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2">
    <w:nsid w:val="06DD7DEB"/>
    <w:multiLevelType w:val="multilevel"/>
    <w:tmpl w:val="06DD7D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7062CB1"/>
    <w:multiLevelType w:val="multilevel"/>
    <w:tmpl w:val="07062CB1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B410F0"/>
    <w:multiLevelType w:val="multilevel"/>
    <w:tmpl w:val="08B410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8E61315"/>
    <w:multiLevelType w:val="multilevel"/>
    <w:tmpl w:val="08E61315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FC4FC0"/>
    <w:multiLevelType w:val="multilevel"/>
    <w:tmpl w:val="0CFC4FC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DD4E3F"/>
    <w:multiLevelType w:val="multilevel"/>
    <w:tmpl w:val="1ADD4E3F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nsid w:val="1F954CA8"/>
    <w:multiLevelType w:val="multilevel"/>
    <w:tmpl w:val="1F954CA8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nsid w:val="21BA092A"/>
    <w:multiLevelType w:val="multilevel"/>
    <w:tmpl w:val="21BA092A"/>
    <w:lvl w:ilvl="0" w:tentative="0">
      <w:start w:val="1"/>
      <w:numFmt w:val="decimal"/>
      <w:lvlText w:val="%1."/>
      <w:lvlJc w:val="left"/>
      <w:pPr>
        <w:ind w:left="1211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B52E39"/>
    <w:multiLevelType w:val="multilevel"/>
    <w:tmpl w:val="22B52E39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1">
    <w:nsid w:val="269139A8"/>
    <w:multiLevelType w:val="multilevel"/>
    <w:tmpl w:val="269139A8"/>
    <w:lvl w:ilvl="0" w:tentative="0">
      <w:start w:val="1"/>
      <w:numFmt w:val="decimal"/>
      <w:suff w:val="space"/>
      <w:lvlText w:val="%1."/>
      <w:lvlJc w:val="left"/>
      <w:pPr>
        <w:ind w:left="283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12">
    <w:nsid w:val="28A16C52"/>
    <w:multiLevelType w:val="multilevel"/>
    <w:tmpl w:val="28A16C52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nsid w:val="33FD30EF"/>
    <w:multiLevelType w:val="multilevel"/>
    <w:tmpl w:val="33FD30EF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>
    <w:nsid w:val="35680674"/>
    <w:multiLevelType w:val="multilevel"/>
    <w:tmpl w:val="35680674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5">
    <w:nsid w:val="397F6A09"/>
    <w:multiLevelType w:val="multilevel"/>
    <w:tmpl w:val="397F6A09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AD831C9"/>
    <w:multiLevelType w:val="multilevel"/>
    <w:tmpl w:val="3AD831C9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decimal"/>
      <w:isLgl/>
      <w:lvlText w:val="%1.%2."/>
      <w:lvlJc w:val="left"/>
      <w:pPr>
        <w:ind w:left="1489" w:hanging="4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7">
    <w:nsid w:val="3F88029D"/>
    <w:multiLevelType w:val="multilevel"/>
    <w:tmpl w:val="3F88029D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nsid w:val="40292112"/>
    <w:multiLevelType w:val="multilevel"/>
    <w:tmpl w:val="40292112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114A97"/>
    <w:multiLevelType w:val="multilevel"/>
    <w:tmpl w:val="42114A97"/>
    <w:lvl w:ilvl="0" w:tentative="0">
      <w:start w:val="1"/>
      <w:numFmt w:val="bullet"/>
      <w:lvlText w:val=""/>
      <w:lvlJc w:val="left"/>
      <w:pPr>
        <w:ind w:left="227" w:hanging="227"/>
      </w:pPr>
      <w:rPr>
        <w:rFonts w:hint="default" w:ascii="Symbol" w:hAnsi="Symbol"/>
      </w:rPr>
    </w:lvl>
    <w:lvl w:ilvl="1" w:tentative="0">
      <w:start w:val="0"/>
      <w:numFmt w:val="bullet"/>
      <w:lvlText w:val="▪"/>
      <w:lvlJc w:val="left"/>
      <w:pPr>
        <w:ind w:left="1080" w:hanging="36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▪"/>
      <w:lvlJc w:val="left"/>
      <w:pPr>
        <w:ind w:left="1800" w:hanging="36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▪"/>
      <w:lvlJc w:val="left"/>
      <w:pPr>
        <w:ind w:left="2160" w:hanging="36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▪"/>
      <w:lvlJc w:val="left"/>
      <w:pPr>
        <w:ind w:left="2880" w:hanging="36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▪"/>
      <w:lvlJc w:val="left"/>
      <w:pPr>
        <w:ind w:left="3240" w:hanging="36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20">
    <w:nsid w:val="42D53465"/>
    <w:multiLevelType w:val="multilevel"/>
    <w:tmpl w:val="42D53465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46C06F65"/>
    <w:multiLevelType w:val="singleLevel"/>
    <w:tmpl w:val="46C06F65"/>
    <w:lvl w:ilvl="0" w:tentative="0">
      <w:start w:val="1"/>
      <w:numFmt w:val="decimal"/>
      <w:pStyle w:val="84"/>
      <w:lvlText w:val="%1."/>
      <w:lvlJc w:val="left"/>
      <w:pPr>
        <w:tabs>
          <w:tab w:val="left" w:pos="360"/>
        </w:tabs>
        <w:ind w:left="357" w:hanging="357"/>
      </w:pPr>
      <w:rPr>
        <w:rFonts w:hint="default"/>
      </w:rPr>
    </w:lvl>
  </w:abstractNum>
  <w:abstractNum w:abstractNumId="22">
    <w:nsid w:val="487E58CC"/>
    <w:multiLevelType w:val="multilevel"/>
    <w:tmpl w:val="487E58CC"/>
    <w:lvl w:ilvl="0" w:tentative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3">
    <w:nsid w:val="494D601C"/>
    <w:multiLevelType w:val="multilevel"/>
    <w:tmpl w:val="494D601C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644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4">
    <w:nsid w:val="5119684B"/>
    <w:multiLevelType w:val="multilevel"/>
    <w:tmpl w:val="5119684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5">
    <w:nsid w:val="51893F20"/>
    <w:multiLevelType w:val="multilevel"/>
    <w:tmpl w:val="51893F20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58D4E4A"/>
    <w:multiLevelType w:val="multilevel"/>
    <w:tmpl w:val="558D4E4A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7">
    <w:nsid w:val="62274402"/>
    <w:multiLevelType w:val="multilevel"/>
    <w:tmpl w:val="622744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632A06BF"/>
    <w:multiLevelType w:val="multilevel"/>
    <w:tmpl w:val="632A06BF"/>
    <w:lvl w:ilvl="0" w:tentative="0">
      <w:start w:val="1"/>
      <w:numFmt w:val="bullet"/>
      <w:lvlText w:val=""/>
      <w:lvlJc w:val="left"/>
      <w:pPr>
        <w:ind w:left="227" w:hanging="227"/>
      </w:pPr>
      <w:rPr>
        <w:rFonts w:hint="default" w:ascii="Symbol" w:hAnsi="Symbol"/>
      </w:rPr>
    </w:lvl>
    <w:lvl w:ilvl="1" w:tentative="0">
      <w:start w:val="0"/>
      <w:numFmt w:val="bullet"/>
      <w:lvlText w:val="▪"/>
      <w:lvlJc w:val="left"/>
      <w:pPr>
        <w:ind w:left="1080" w:hanging="36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▪"/>
      <w:lvlJc w:val="left"/>
      <w:pPr>
        <w:ind w:left="1800" w:hanging="36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▪"/>
      <w:lvlJc w:val="left"/>
      <w:pPr>
        <w:ind w:left="2160" w:hanging="36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▪"/>
      <w:lvlJc w:val="left"/>
      <w:pPr>
        <w:ind w:left="2880" w:hanging="36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▪"/>
      <w:lvlJc w:val="left"/>
      <w:pPr>
        <w:ind w:left="3240" w:hanging="36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29">
    <w:nsid w:val="63737B16"/>
    <w:multiLevelType w:val="multilevel"/>
    <w:tmpl w:val="63737B1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EF2BE0"/>
    <w:multiLevelType w:val="multilevel"/>
    <w:tmpl w:val="66EF2BE0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1">
    <w:nsid w:val="6796201F"/>
    <w:multiLevelType w:val="multilevel"/>
    <w:tmpl w:val="6796201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5104BC"/>
    <w:multiLevelType w:val="multilevel"/>
    <w:tmpl w:val="6A5104BC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D680AD8"/>
    <w:multiLevelType w:val="multilevel"/>
    <w:tmpl w:val="6D680AD8"/>
    <w:lvl w:ilvl="0" w:tentative="0">
      <w:start w:val="1"/>
      <w:numFmt w:val="decimal"/>
      <w:suff w:val="space"/>
      <w:lvlText w:val="%1."/>
      <w:lvlJc w:val="left"/>
      <w:pPr>
        <w:ind w:left="283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34">
    <w:nsid w:val="6E2D05D8"/>
    <w:multiLevelType w:val="multilevel"/>
    <w:tmpl w:val="6E2D05D8"/>
    <w:lvl w:ilvl="0" w:tentative="0">
      <w:start w:val="1"/>
      <w:numFmt w:val="decimal"/>
      <w:lvlText w:val="%1."/>
      <w:lvlJc w:val="left"/>
      <w:pPr>
        <w:ind w:left="1211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69411A"/>
    <w:multiLevelType w:val="singleLevel"/>
    <w:tmpl w:val="7369411A"/>
    <w:lvl w:ilvl="0" w:tentative="0">
      <w:start w:val="1"/>
      <w:numFmt w:val="decimal"/>
      <w:pStyle w:val="37"/>
      <w:lvlText w:val="%1."/>
      <w:lvlJc w:val="left"/>
      <w:pPr>
        <w:tabs>
          <w:tab w:val="left" w:pos="360"/>
        </w:tabs>
        <w:ind w:left="283" w:hanging="283"/>
      </w:pPr>
      <w:rPr>
        <w:rFonts w:hint="default" w:ascii="Times New Roman" w:hAnsi="Times New Roman"/>
        <w:sz w:val="20"/>
      </w:rPr>
    </w:lvl>
  </w:abstractNum>
  <w:abstractNum w:abstractNumId="36">
    <w:nsid w:val="73C11167"/>
    <w:multiLevelType w:val="multilevel"/>
    <w:tmpl w:val="73C11167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7">
    <w:nsid w:val="7A9D2B0C"/>
    <w:multiLevelType w:val="multilevel"/>
    <w:tmpl w:val="7A9D2B0C"/>
    <w:lvl w:ilvl="0" w:tentative="0">
      <w:start w:val="1"/>
      <w:numFmt w:val="bullet"/>
      <w:lvlText w:val=""/>
      <w:lvlJc w:val="left"/>
      <w:pPr>
        <w:ind w:left="227" w:hanging="227"/>
      </w:pPr>
      <w:rPr>
        <w:rFonts w:hint="default" w:ascii="Symbol" w:hAnsi="Symbol"/>
      </w:rPr>
    </w:lvl>
    <w:lvl w:ilvl="1" w:tentative="0">
      <w:start w:val="0"/>
      <w:numFmt w:val="bullet"/>
      <w:lvlText w:val="▪"/>
      <w:lvlJc w:val="left"/>
      <w:pPr>
        <w:ind w:left="1080" w:hanging="36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▪"/>
      <w:lvlJc w:val="left"/>
      <w:pPr>
        <w:ind w:left="1800" w:hanging="36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▪"/>
      <w:lvlJc w:val="left"/>
      <w:pPr>
        <w:ind w:left="2160" w:hanging="36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▪"/>
      <w:lvlJc w:val="left"/>
      <w:pPr>
        <w:ind w:left="2880" w:hanging="36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▪"/>
      <w:lvlJc w:val="left"/>
      <w:pPr>
        <w:ind w:left="3240" w:hanging="36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38">
    <w:nsid w:val="7B583875"/>
    <w:multiLevelType w:val="multilevel"/>
    <w:tmpl w:val="7B583875"/>
    <w:lvl w:ilvl="0" w:tentative="0">
      <w:start w:val="1"/>
      <w:numFmt w:val="bullet"/>
      <w:lvlText w:val=""/>
      <w:lvlJc w:val="left"/>
      <w:pPr>
        <w:ind w:left="227" w:hanging="227"/>
      </w:pPr>
      <w:rPr>
        <w:rFonts w:hint="default" w:ascii="Symbol" w:hAnsi="Symbol"/>
      </w:rPr>
    </w:lvl>
    <w:lvl w:ilvl="1" w:tentative="0">
      <w:start w:val="0"/>
      <w:numFmt w:val="bullet"/>
      <w:lvlText w:val="▪"/>
      <w:lvlJc w:val="left"/>
      <w:pPr>
        <w:ind w:left="1080" w:hanging="36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▪"/>
      <w:lvlJc w:val="left"/>
      <w:pPr>
        <w:ind w:left="1800" w:hanging="36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▪"/>
      <w:lvlJc w:val="left"/>
      <w:pPr>
        <w:ind w:left="2160" w:hanging="36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▪"/>
      <w:lvlJc w:val="left"/>
      <w:pPr>
        <w:ind w:left="2880" w:hanging="36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▪"/>
      <w:lvlJc w:val="left"/>
      <w:pPr>
        <w:ind w:left="3240" w:hanging="36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39">
    <w:nsid w:val="7D2F52EB"/>
    <w:multiLevelType w:val="multilevel"/>
    <w:tmpl w:val="7D2F52EB"/>
    <w:lvl w:ilvl="0" w:tentative="0">
      <w:start w:val="1"/>
      <w:numFmt w:val="decimal"/>
      <w:suff w:val="space"/>
      <w:lvlText w:val="%1."/>
      <w:lvlJc w:val="left"/>
      <w:pPr>
        <w:ind w:left="283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40">
    <w:nsid w:val="7E0F524E"/>
    <w:multiLevelType w:val="multilevel"/>
    <w:tmpl w:val="7E0F524E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1">
    <w:nsid w:val="7F187F6B"/>
    <w:multiLevelType w:val="multilevel"/>
    <w:tmpl w:val="7F187F6B"/>
    <w:lvl w:ilvl="0" w:tentative="0">
      <w:start w:val="1"/>
      <w:numFmt w:val="decimal"/>
      <w:suff w:val="space"/>
      <w:lvlText w:val="%1."/>
      <w:lvlJc w:val="left"/>
      <w:pPr>
        <w:ind w:left="283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35"/>
  </w:num>
  <w:num w:numId="2">
    <w:abstractNumId w:val="21"/>
  </w:num>
  <w:num w:numId="3">
    <w:abstractNumId w:val="11"/>
    <w:lvlOverride w:ilvl="0">
      <w:startOverride w:val="1"/>
    </w:lvlOverride>
  </w:num>
  <w:num w:numId="4">
    <w:abstractNumId w:val="11"/>
  </w:num>
  <w:num w:numId="5">
    <w:abstractNumId w:val="31"/>
  </w:num>
  <w:num w:numId="6">
    <w:abstractNumId w:val="37"/>
  </w:num>
  <w:num w:numId="7">
    <w:abstractNumId w:val="28"/>
  </w:num>
  <w:num w:numId="8">
    <w:abstractNumId w:val="38"/>
  </w:num>
  <w:num w:numId="9">
    <w:abstractNumId w:val="19"/>
  </w:num>
  <w:num w:numId="10">
    <w:abstractNumId w:val="29"/>
  </w:num>
  <w:num w:numId="11">
    <w:abstractNumId w:val="23"/>
  </w:num>
  <w:num w:numId="12">
    <w:abstractNumId w:val="1"/>
  </w:num>
  <w:num w:numId="13">
    <w:abstractNumId w:val="14"/>
  </w:num>
  <w:num w:numId="14">
    <w:abstractNumId w:val="10"/>
  </w:num>
  <w:num w:numId="15">
    <w:abstractNumId w:val="39"/>
  </w:num>
  <w:num w:numId="16">
    <w:abstractNumId w:val="41"/>
  </w:num>
  <w:num w:numId="17">
    <w:abstractNumId w:val="2"/>
  </w:num>
  <w:num w:numId="18">
    <w:abstractNumId w:val="27"/>
  </w:num>
  <w:num w:numId="19">
    <w:abstractNumId w:val="8"/>
  </w:num>
  <w:num w:numId="20">
    <w:abstractNumId w:val="24"/>
  </w:num>
  <w:num w:numId="21">
    <w:abstractNumId w:val="26"/>
  </w:num>
  <w:num w:numId="22">
    <w:abstractNumId w:val="7"/>
  </w:num>
  <w:num w:numId="23">
    <w:abstractNumId w:val="30"/>
  </w:num>
  <w:num w:numId="24">
    <w:abstractNumId w:val="40"/>
  </w:num>
  <w:num w:numId="25">
    <w:abstractNumId w:val="12"/>
  </w:num>
  <w:num w:numId="26">
    <w:abstractNumId w:val="36"/>
  </w:num>
  <w:num w:numId="27">
    <w:abstractNumId w:val="13"/>
  </w:num>
  <w:num w:numId="28">
    <w:abstractNumId w:val="6"/>
  </w:num>
  <w:num w:numId="29">
    <w:abstractNumId w:val="9"/>
  </w:num>
  <w:num w:numId="30">
    <w:abstractNumId w:val="34"/>
  </w:num>
  <w:num w:numId="31">
    <w:abstractNumId w:val="0"/>
  </w:num>
  <w:num w:numId="32">
    <w:abstractNumId w:val="16"/>
  </w:num>
  <w:num w:numId="33">
    <w:abstractNumId w:val="17"/>
  </w:num>
  <w:num w:numId="34">
    <w:abstractNumId w:val="20"/>
  </w:num>
  <w:num w:numId="35">
    <w:abstractNumId w:val="22"/>
  </w:num>
  <w:num w:numId="36">
    <w:abstractNumId w:val="4"/>
  </w:num>
  <w:num w:numId="37">
    <w:abstractNumId w:val="32"/>
  </w:num>
  <w:num w:numId="38">
    <w:abstractNumId w:val="15"/>
  </w:num>
  <w:num w:numId="39">
    <w:abstractNumId w:val="25"/>
  </w:num>
  <w:num w:numId="40">
    <w:abstractNumId w:val="18"/>
  </w:num>
  <w:num w:numId="41">
    <w:abstractNumId w:val="5"/>
  </w:num>
  <w:num w:numId="42">
    <w:abstractNumId w:val="3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autoHyphenation/>
  <w:drawingGridHorizontalSpacing w:val="227"/>
  <w:drawingGridVerticalSpacing w:val="227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64D"/>
    <w:rsid w:val="000045AA"/>
    <w:rsid w:val="0001075E"/>
    <w:rsid w:val="00011559"/>
    <w:rsid w:val="00011DFD"/>
    <w:rsid w:val="000131BF"/>
    <w:rsid w:val="00020317"/>
    <w:rsid w:val="0002084F"/>
    <w:rsid w:val="00023F9E"/>
    <w:rsid w:val="0002716F"/>
    <w:rsid w:val="00030E86"/>
    <w:rsid w:val="0003537E"/>
    <w:rsid w:val="000357C8"/>
    <w:rsid w:val="000369D5"/>
    <w:rsid w:val="00050E6C"/>
    <w:rsid w:val="0005215C"/>
    <w:rsid w:val="00052A94"/>
    <w:rsid w:val="00052F36"/>
    <w:rsid w:val="000619B1"/>
    <w:rsid w:val="00061DC4"/>
    <w:rsid w:val="0006278B"/>
    <w:rsid w:val="00064F1A"/>
    <w:rsid w:val="00073162"/>
    <w:rsid w:val="000808A6"/>
    <w:rsid w:val="00081E51"/>
    <w:rsid w:val="0008512B"/>
    <w:rsid w:val="000927D0"/>
    <w:rsid w:val="00094895"/>
    <w:rsid w:val="000A24F2"/>
    <w:rsid w:val="000A63D1"/>
    <w:rsid w:val="000A6F32"/>
    <w:rsid w:val="000A72B3"/>
    <w:rsid w:val="000B1D90"/>
    <w:rsid w:val="000B3CC7"/>
    <w:rsid w:val="000C1D3D"/>
    <w:rsid w:val="000C3D84"/>
    <w:rsid w:val="000C5A4C"/>
    <w:rsid w:val="000D040E"/>
    <w:rsid w:val="000D070A"/>
    <w:rsid w:val="000D424B"/>
    <w:rsid w:val="000D43A9"/>
    <w:rsid w:val="000E0A62"/>
    <w:rsid w:val="000E4A85"/>
    <w:rsid w:val="000E4AF9"/>
    <w:rsid w:val="000E5710"/>
    <w:rsid w:val="000E6866"/>
    <w:rsid w:val="000F1FC5"/>
    <w:rsid w:val="000F3BB5"/>
    <w:rsid w:val="000F68B7"/>
    <w:rsid w:val="00101B7E"/>
    <w:rsid w:val="00102F77"/>
    <w:rsid w:val="001045DD"/>
    <w:rsid w:val="00107A69"/>
    <w:rsid w:val="00111F98"/>
    <w:rsid w:val="00112003"/>
    <w:rsid w:val="001136F8"/>
    <w:rsid w:val="00115680"/>
    <w:rsid w:val="0011586C"/>
    <w:rsid w:val="001171BB"/>
    <w:rsid w:val="00117D02"/>
    <w:rsid w:val="00121042"/>
    <w:rsid w:val="001212C7"/>
    <w:rsid w:val="001251F3"/>
    <w:rsid w:val="00126358"/>
    <w:rsid w:val="00127DA4"/>
    <w:rsid w:val="001328AB"/>
    <w:rsid w:val="00132CFF"/>
    <w:rsid w:val="00132EBA"/>
    <w:rsid w:val="00134DA0"/>
    <w:rsid w:val="00134F18"/>
    <w:rsid w:val="00136B43"/>
    <w:rsid w:val="00137289"/>
    <w:rsid w:val="00137F74"/>
    <w:rsid w:val="00141160"/>
    <w:rsid w:val="00141B94"/>
    <w:rsid w:val="00144512"/>
    <w:rsid w:val="00146910"/>
    <w:rsid w:val="00146CB6"/>
    <w:rsid w:val="001533C2"/>
    <w:rsid w:val="00153FB2"/>
    <w:rsid w:val="0016092C"/>
    <w:rsid w:val="0016178A"/>
    <w:rsid w:val="001645AF"/>
    <w:rsid w:val="0016649D"/>
    <w:rsid w:val="0017151B"/>
    <w:rsid w:val="00173827"/>
    <w:rsid w:val="00174D9C"/>
    <w:rsid w:val="001764CA"/>
    <w:rsid w:val="00180F18"/>
    <w:rsid w:val="0018319E"/>
    <w:rsid w:val="00186A87"/>
    <w:rsid w:val="001873E3"/>
    <w:rsid w:val="001873E6"/>
    <w:rsid w:val="00191975"/>
    <w:rsid w:val="00197538"/>
    <w:rsid w:val="00197742"/>
    <w:rsid w:val="00197753"/>
    <w:rsid w:val="001A275F"/>
    <w:rsid w:val="001A3F44"/>
    <w:rsid w:val="001A49DD"/>
    <w:rsid w:val="001A4D49"/>
    <w:rsid w:val="001B4B90"/>
    <w:rsid w:val="001B7725"/>
    <w:rsid w:val="001B7A8F"/>
    <w:rsid w:val="001C0585"/>
    <w:rsid w:val="001C1944"/>
    <w:rsid w:val="001C1D98"/>
    <w:rsid w:val="001C22FE"/>
    <w:rsid w:val="001C3609"/>
    <w:rsid w:val="001C50A2"/>
    <w:rsid w:val="001C6767"/>
    <w:rsid w:val="001C7FEF"/>
    <w:rsid w:val="001D190E"/>
    <w:rsid w:val="001D556D"/>
    <w:rsid w:val="001D7D3D"/>
    <w:rsid w:val="001E17F2"/>
    <w:rsid w:val="001E29B1"/>
    <w:rsid w:val="001E4239"/>
    <w:rsid w:val="001E4261"/>
    <w:rsid w:val="001E4E9F"/>
    <w:rsid w:val="001E4F9B"/>
    <w:rsid w:val="001E7FBB"/>
    <w:rsid w:val="001F2833"/>
    <w:rsid w:val="001F5D5C"/>
    <w:rsid w:val="001F7397"/>
    <w:rsid w:val="002042CA"/>
    <w:rsid w:val="0020432F"/>
    <w:rsid w:val="0020556F"/>
    <w:rsid w:val="00206919"/>
    <w:rsid w:val="00206CEF"/>
    <w:rsid w:val="00215284"/>
    <w:rsid w:val="00217AB4"/>
    <w:rsid w:val="00230EE7"/>
    <w:rsid w:val="00231AC2"/>
    <w:rsid w:val="0023361F"/>
    <w:rsid w:val="00233854"/>
    <w:rsid w:val="00234484"/>
    <w:rsid w:val="00240758"/>
    <w:rsid w:val="002465F5"/>
    <w:rsid w:val="00247C6D"/>
    <w:rsid w:val="002601A5"/>
    <w:rsid w:val="00262D18"/>
    <w:rsid w:val="00263724"/>
    <w:rsid w:val="00265C3A"/>
    <w:rsid w:val="002703AA"/>
    <w:rsid w:val="00272825"/>
    <w:rsid w:val="0027450A"/>
    <w:rsid w:val="00277DD6"/>
    <w:rsid w:val="00282A37"/>
    <w:rsid w:val="002857EF"/>
    <w:rsid w:val="00287F8F"/>
    <w:rsid w:val="002939D4"/>
    <w:rsid w:val="00293E3F"/>
    <w:rsid w:val="0029427C"/>
    <w:rsid w:val="0029491E"/>
    <w:rsid w:val="002957E8"/>
    <w:rsid w:val="00296A40"/>
    <w:rsid w:val="002B0D09"/>
    <w:rsid w:val="002B3775"/>
    <w:rsid w:val="002B39CB"/>
    <w:rsid w:val="002B439E"/>
    <w:rsid w:val="002B57D4"/>
    <w:rsid w:val="002B580F"/>
    <w:rsid w:val="002B5A51"/>
    <w:rsid w:val="002C47DF"/>
    <w:rsid w:val="002C5F8E"/>
    <w:rsid w:val="002D30B3"/>
    <w:rsid w:val="002D3A66"/>
    <w:rsid w:val="002D422B"/>
    <w:rsid w:val="002D43BA"/>
    <w:rsid w:val="002D49CA"/>
    <w:rsid w:val="002D6AE8"/>
    <w:rsid w:val="002E1DAD"/>
    <w:rsid w:val="002E249D"/>
    <w:rsid w:val="002E415A"/>
    <w:rsid w:val="002E41A3"/>
    <w:rsid w:val="002E522C"/>
    <w:rsid w:val="002E7FEB"/>
    <w:rsid w:val="002F0F02"/>
    <w:rsid w:val="002F4598"/>
    <w:rsid w:val="002F57DF"/>
    <w:rsid w:val="00300167"/>
    <w:rsid w:val="00307D88"/>
    <w:rsid w:val="00313399"/>
    <w:rsid w:val="0031381A"/>
    <w:rsid w:val="00314832"/>
    <w:rsid w:val="00316A2E"/>
    <w:rsid w:val="00316E6F"/>
    <w:rsid w:val="0032097D"/>
    <w:rsid w:val="00321019"/>
    <w:rsid w:val="003258E7"/>
    <w:rsid w:val="0032614E"/>
    <w:rsid w:val="00327579"/>
    <w:rsid w:val="00330C7E"/>
    <w:rsid w:val="00336144"/>
    <w:rsid w:val="00341DED"/>
    <w:rsid w:val="003439F5"/>
    <w:rsid w:val="00344B54"/>
    <w:rsid w:val="0034734C"/>
    <w:rsid w:val="003476E0"/>
    <w:rsid w:val="00350210"/>
    <w:rsid w:val="003513D4"/>
    <w:rsid w:val="003519E1"/>
    <w:rsid w:val="0035310F"/>
    <w:rsid w:val="00354802"/>
    <w:rsid w:val="00354E4C"/>
    <w:rsid w:val="003553DB"/>
    <w:rsid w:val="003617C0"/>
    <w:rsid w:val="003645EE"/>
    <w:rsid w:val="00364D5B"/>
    <w:rsid w:val="00365C04"/>
    <w:rsid w:val="0036719F"/>
    <w:rsid w:val="003676C8"/>
    <w:rsid w:val="00371237"/>
    <w:rsid w:val="0037525E"/>
    <w:rsid w:val="00375FF6"/>
    <w:rsid w:val="003778AA"/>
    <w:rsid w:val="00377B7C"/>
    <w:rsid w:val="003830A5"/>
    <w:rsid w:val="003850F4"/>
    <w:rsid w:val="00385637"/>
    <w:rsid w:val="00387165"/>
    <w:rsid w:val="00387780"/>
    <w:rsid w:val="00387D73"/>
    <w:rsid w:val="003901D3"/>
    <w:rsid w:val="00390887"/>
    <w:rsid w:val="00391C5A"/>
    <w:rsid w:val="00393878"/>
    <w:rsid w:val="00394723"/>
    <w:rsid w:val="00394B35"/>
    <w:rsid w:val="00395921"/>
    <w:rsid w:val="003A2212"/>
    <w:rsid w:val="003A5171"/>
    <w:rsid w:val="003A62F5"/>
    <w:rsid w:val="003A7A18"/>
    <w:rsid w:val="003B1619"/>
    <w:rsid w:val="003B7F54"/>
    <w:rsid w:val="003C08A3"/>
    <w:rsid w:val="003C5525"/>
    <w:rsid w:val="003C57A5"/>
    <w:rsid w:val="003C7468"/>
    <w:rsid w:val="003D208C"/>
    <w:rsid w:val="003D40CD"/>
    <w:rsid w:val="003E0B39"/>
    <w:rsid w:val="003E3C4B"/>
    <w:rsid w:val="003E50A7"/>
    <w:rsid w:val="003E7053"/>
    <w:rsid w:val="003F0B98"/>
    <w:rsid w:val="003F3ED6"/>
    <w:rsid w:val="003F5740"/>
    <w:rsid w:val="004038CE"/>
    <w:rsid w:val="004039BB"/>
    <w:rsid w:val="00414DD8"/>
    <w:rsid w:val="0041716D"/>
    <w:rsid w:val="00421BA6"/>
    <w:rsid w:val="004238EC"/>
    <w:rsid w:val="004248E4"/>
    <w:rsid w:val="00425003"/>
    <w:rsid w:val="0042670B"/>
    <w:rsid w:val="00434681"/>
    <w:rsid w:val="0043714C"/>
    <w:rsid w:val="00437906"/>
    <w:rsid w:val="00443DAF"/>
    <w:rsid w:val="00446D38"/>
    <w:rsid w:val="00447A28"/>
    <w:rsid w:val="00452458"/>
    <w:rsid w:val="00452B1F"/>
    <w:rsid w:val="00453DAC"/>
    <w:rsid w:val="0045512E"/>
    <w:rsid w:val="0045692A"/>
    <w:rsid w:val="00457CB8"/>
    <w:rsid w:val="00462CC1"/>
    <w:rsid w:val="004656A7"/>
    <w:rsid w:val="00466CAF"/>
    <w:rsid w:val="00467143"/>
    <w:rsid w:val="00470D68"/>
    <w:rsid w:val="004759A6"/>
    <w:rsid w:val="00475B88"/>
    <w:rsid w:val="0047757E"/>
    <w:rsid w:val="00486132"/>
    <w:rsid w:val="004868D1"/>
    <w:rsid w:val="00487A90"/>
    <w:rsid w:val="00490B72"/>
    <w:rsid w:val="0049423A"/>
    <w:rsid w:val="004964A8"/>
    <w:rsid w:val="004A0F93"/>
    <w:rsid w:val="004A1326"/>
    <w:rsid w:val="004A2C48"/>
    <w:rsid w:val="004A345A"/>
    <w:rsid w:val="004A49DE"/>
    <w:rsid w:val="004A621D"/>
    <w:rsid w:val="004A6AA8"/>
    <w:rsid w:val="004A6D38"/>
    <w:rsid w:val="004A7C32"/>
    <w:rsid w:val="004B088B"/>
    <w:rsid w:val="004B119A"/>
    <w:rsid w:val="004B36C6"/>
    <w:rsid w:val="004B4DE0"/>
    <w:rsid w:val="004B4EC0"/>
    <w:rsid w:val="004B64D0"/>
    <w:rsid w:val="004B7D1C"/>
    <w:rsid w:val="004C0525"/>
    <w:rsid w:val="004C2E48"/>
    <w:rsid w:val="004C3CBC"/>
    <w:rsid w:val="004C5AA8"/>
    <w:rsid w:val="004C72CD"/>
    <w:rsid w:val="004C780A"/>
    <w:rsid w:val="004D089A"/>
    <w:rsid w:val="004D28A6"/>
    <w:rsid w:val="004D7D89"/>
    <w:rsid w:val="004E2C5A"/>
    <w:rsid w:val="004E39FC"/>
    <w:rsid w:val="004E69B6"/>
    <w:rsid w:val="004F29EF"/>
    <w:rsid w:val="004F3008"/>
    <w:rsid w:val="004F3FC0"/>
    <w:rsid w:val="00504898"/>
    <w:rsid w:val="00504F26"/>
    <w:rsid w:val="0050538D"/>
    <w:rsid w:val="005122D7"/>
    <w:rsid w:val="00514EC0"/>
    <w:rsid w:val="00517D5A"/>
    <w:rsid w:val="00525E48"/>
    <w:rsid w:val="00525F47"/>
    <w:rsid w:val="005268E9"/>
    <w:rsid w:val="00540DCE"/>
    <w:rsid w:val="00540FF1"/>
    <w:rsid w:val="005453BD"/>
    <w:rsid w:val="0054559D"/>
    <w:rsid w:val="00547569"/>
    <w:rsid w:val="00551E35"/>
    <w:rsid w:val="005533BD"/>
    <w:rsid w:val="00554148"/>
    <w:rsid w:val="00556080"/>
    <w:rsid w:val="00556869"/>
    <w:rsid w:val="00560737"/>
    <w:rsid w:val="00561343"/>
    <w:rsid w:val="00571B52"/>
    <w:rsid w:val="00576B9A"/>
    <w:rsid w:val="00577F96"/>
    <w:rsid w:val="00580E4F"/>
    <w:rsid w:val="005823BD"/>
    <w:rsid w:val="0058334A"/>
    <w:rsid w:val="005864EC"/>
    <w:rsid w:val="00587E6E"/>
    <w:rsid w:val="00590095"/>
    <w:rsid w:val="00593B8B"/>
    <w:rsid w:val="00593F6A"/>
    <w:rsid w:val="00597460"/>
    <w:rsid w:val="005A1E50"/>
    <w:rsid w:val="005B07AB"/>
    <w:rsid w:val="005B3109"/>
    <w:rsid w:val="005B4667"/>
    <w:rsid w:val="005B6009"/>
    <w:rsid w:val="005B754B"/>
    <w:rsid w:val="005C0A93"/>
    <w:rsid w:val="005D2673"/>
    <w:rsid w:val="005D3CC0"/>
    <w:rsid w:val="005D73CC"/>
    <w:rsid w:val="005D7ED6"/>
    <w:rsid w:val="005E1D09"/>
    <w:rsid w:val="005E6ECE"/>
    <w:rsid w:val="005E7474"/>
    <w:rsid w:val="005F0410"/>
    <w:rsid w:val="005F0FB6"/>
    <w:rsid w:val="005F30D0"/>
    <w:rsid w:val="005F455F"/>
    <w:rsid w:val="005F600A"/>
    <w:rsid w:val="005F63B2"/>
    <w:rsid w:val="0060354E"/>
    <w:rsid w:val="00605263"/>
    <w:rsid w:val="006113DA"/>
    <w:rsid w:val="00612539"/>
    <w:rsid w:val="00613D9A"/>
    <w:rsid w:val="0062044E"/>
    <w:rsid w:val="00626D95"/>
    <w:rsid w:val="00627188"/>
    <w:rsid w:val="00627AE8"/>
    <w:rsid w:val="00630925"/>
    <w:rsid w:val="00636237"/>
    <w:rsid w:val="00637C3C"/>
    <w:rsid w:val="00637C7A"/>
    <w:rsid w:val="0064132D"/>
    <w:rsid w:val="00641F50"/>
    <w:rsid w:val="00643FD9"/>
    <w:rsid w:val="0064491F"/>
    <w:rsid w:val="006457CD"/>
    <w:rsid w:val="0064755E"/>
    <w:rsid w:val="00650B7B"/>
    <w:rsid w:val="006541AC"/>
    <w:rsid w:val="006559C3"/>
    <w:rsid w:val="006579D8"/>
    <w:rsid w:val="00661DFA"/>
    <w:rsid w:val="006620B7"/>
    <w:rsid w:val="006658C0"/>
    <w:rsid w:val="006675D2"/>
    <w:rsid w:val="00673791"/>
    <w:rsid w:val="00681248"/>
    <w:rsid w:val="00683736"/>
    <w:rsid w:val="00685E1A"/>
    <w:rsid w:val="006907C5"/>
    <w:rsid w:val="00690E33"/>
    <w:rsid w:val="00694AAE"/>
    <w:rsid w:val="006953D5"/>
    <w:rsid w:val="00696898"/>
    <w:rsid w:val="006969B8"/>
    <w:rsid w:val="006A2734"/>
    <w:rsid w:val="006A44BB"/>
    <w:rsid w:val="006A5082"/>
    <w:rsid w:val="006B4290"/>
    <w:rsid w:val="006B5807"/>
    <w:rsid w:val="006C02FF"/>
    <w:rsid w:val="006C0350"/>
    <w:rsid w:val="006C2FBD"/>
    <w:rsid w:val="006C3C6A"/>
    <w:rsid w:val="006C66DE"/>
    <w:rsid w:val="006C72DE"/>
    <w:rsid w:val="006D024E"/>
    <w:rsid w:val="006D620F"/>
    <w:rsid w:val="006D74BC"/>
    <w:rsid w:val="006D7787"/>
    <w:rsid w:val="006E117C"/>
    <w:rsid w:val="006E12DF"/>
    <w:rsid w:val="006E1C94"/>
    <w:rsid w:val="006E2BB4"/>
    <w:rsid w:val="006E2D3F"/>
    <w:rsid w:val="006E4CF7"/>
    <w:rsid w:val="006E5CEF"/>
    <w:rsid w:val="006F2E81"/>
    <w:rsid w:val="006F3612"/>
    <w:rsid w:val="00702575"/>
    <w:rsid w:val="0070272D"/>
    <w:rsid w:val="00707329"/>
    <w:rsid w:val="007076B9"/>
    <w:rsid w:val="00710BFB"/>
    <w:rsid w:val="00710D6B"/>
    <w:rsid w:val="00712385"/>
    <w:rsid w:val="007131C4"/>
    <w:rsid w:val="00715A26"/>
    <w:rsid w:val="00720CE3"/>
    <w:rsid w:val="00722759"/>
    <w:rsid w:val="007244D3"/>
    <w:rsid w:val="007249B9"/>
    <w:rsid w:val="00725668"/>
    <w:rsid w:val="00726E44"/>
    <w:rsid w:val="00727D8E"/>
    <w:rsid w:val="00732219"/>
    <w:rsid w:val="00732659"/>
    <w:rsid w:val="00732C6E"/>
    <w:rsid w:val="00734522"/>
    <w:rsid w:val="00736924"/>
    <w:rsid w:val="00737C2D"/>
    <w:rsid w:val="007406AD"/>
    <w:rsid w:val="00742F71"/>
    <w:rsid w:val="00743F1C"/>
    <w:rsid w:val="00753E55"/>
    <w:rsid w:val="00754DFD"/>
    <w:rsid w:val="00756CB7"/>
    <w:rsid w:val="007574BF"/>
    <w:rsid w:val="00757D4E"/>
    <w:rsid w:val="00760190"/>
    <w:rsid w:val="007609AE"/>
    <w:rsid w:val="0076220B"/>
    <w:rsid w:val="007635CA"/>
    <w:rsid w:val="007644F9"/>
    <w:rsid w:val="00770973"/>
    <w:rsid w:val="007719DC"/>
    <w:rsid w:val="0077539A"/>
    <w:rsid w:val="0077768D"/>
    <w:rsid w:val="00780558"/>
    <w:rsid w:val="00781022"/>
    <w:rsid w:val="00781F9C"/>
    <w:rsid w:val="00787F21"/>
    <w:rsid w:val="00796D9E"/>
    <w:rsid w:val="007A18B2"/>
    <w:rsid w:val="007A1F3E"/>
    <w:rsid w:val="007A3386"/>
    <w:rsid w:val="007A39C0"/>
    <w:rsid w:val="007B0768"/>
    <w:rsid w:val="007B4B63"/>
    <w:rsid w:val="007B5F43"/>
    <w:rsid w:val="007B74C0"/>
    <w:rsid w:val="007C1ED2"/>
    <w:rsid w:val="007C3029"/>
    <w:rsid w:val="007C7E45"/>
    <w:rsid w:val="007D0112"/>
    <w:rsid w:val="007D0D58"/>
    <w:rsid w:val="007D0EC0"/>
    <w:rsid w:val="007D1E56"/>
    <w:rsid w:val="007D38AF"/>
    <w:rsid w:val="007D507B"/>
    <w:rsid w:val="007D7298"/>
    <w:rsid w:val="007E5FBD"/>
    <w:rsid w:val="007F0F49"/>
    <w:rsid w:val="007F2E69"/>
    <w:rsid w:val="007F3A93"/>
    <w:rsid w:val="008007F4"/>
    <w:rsid w:val="00801605"/>
    <w:rsid w:val="0080208E"/>
    <w:rsid w:val="0080250A"/>
    <w:rsid w:val="0080282D"/>
    <w:rsid w:val="008035FD"/>
    <w:rsid w:val="008100C9"/>
    <w:rsid w:val="008110CE"/>
    <w:rsid w:val="008120B0"/>
    <w:rsid w:val="008163F6"/>
    <w:rsid w:val="008164CF"/>
    <w:rsid w:val="00817475"/>
    <w:rsid w:val="00820DDF"/>
    <w:rsid w:val="0082633A"/>
    <w:rsid w:val="008353D6"/>
    <w:rsid w:val="008366E0"/>
    <w:rsid w:val="00840419"/>
    <w:rsid w:val="00841DF9"/>
    <w:rsid w:val="008426CB"/>
    <w:rsid w:val="00843C3E"/>
    <w:rsid w:val="0084669F"/>
    <w:rsid w:val="00847F31"/>
    <w:rsid w:val="00852013"/>
    <w:rsid w:val="00852FE2"/>
    <w:rsid w:val="008550DF"/>
    <w:rsid w:val="008571CB"/>
    <w:rsid w:val="00857A1A"/>
    <w:rsid w:val="008626BD"/>
    <w:rsid w:val="00863EB6"/>
    <w:rsid w:val="00866D07"/>
    <w:rsid w:val="008707A2"/>
    <w:rsid w:val="00871430"/>
    <w:rsid w:val="00871EDA"/>
    <w:rsid w:val="00872435"/>
    <w:rsid w:val="0087656D"/>
    <w:rsid w:val="008778E0"/>
    <w:rsid w:val="00892186"/>
    <w:rsid w:val="00896529"/>
    <w:rsid w:val="0089676C"/>
    <w:rsid w:val="00897459"/>
    <w:rsid w:val="008A642F"/>
    <w:rsid w:val="008B1ABB"/>
    <w:rsid w:val="008B3DD0"/>
    <w:rsid w:val="008B5D44"/>
    <w:rsid w:val="008C3290"/>
    <w:rsid w:val="008C5947"/>
    <w:rsid w:val="008D0E68"/>
    <w:rsid w:val="008D23A4"/>
    <w:rsid w:val="008E0390"/>
    <w:rsid w:val="008E0531"/>
    <w:rsid w:val="008E35B7"/>
    <w:rsid w:val="008E66A9"/>
    <w:rsid w:val="008F6EC8"/>
    <w:rsid w:val="008F6F79"/>
    <w:rsid w:val="009037F7"/>
    <w:rsid w:val="00903825"/>
    <w:rsid w:val="00903903"/>
    <w:rsid w:val="00905EB2"/>
    <w:rsid w:val="00906099"/>
    <w:rsid w:val="00910053"/>
    <w:rsid w:val="009115B5"/>
    <w:rsid w:val="009125FF"/>
    <w:rsid w:val="00913A8E"/>
    <w:rsid w:val="00917152"/>
    <w:rsid w:val="0092030D"/>
    <w:rsid w:val="009252C5"/>
    <w:rsid w:val="009256BF"/>
    <w:rsid w:val="00927C32"/>
    <w:rsid w:val="00947218"/>
    <w:rsid w:val="0094770C"/>
    <w:rsid w:val="00950A7E"/>
    <w:rsid w:val="00953CC4"/>
    <w:rsid w:val="00954074"/>
    <w:rsid w:val="0095487B"/>
    <w:rsid w:val="009572B8"/>
    <w:rsid w:val="00965E14"/>
    <w:rsid w:val="00966075"/>
    <w:rsid w:val="009679F8"/>
    <w:rsid w:val="00970321"/>
    <w:rsid w:val="00974542"/>
    <w:rsid w:val="0097491E"/>
    <w:rsid w:val="00975895"/>
    <w:rsid w:val="00975D69"/>
    <w:rsid w:val="0097702A"/>
    <w:rsid w:val="00987657"/>
    <w:rsid w:val="00990ACD"/>
    <w:rsid w:val="009A1228"/>
    <w:rsid w:val="009A36D4"/>
    <w:rsid w:val="009A5CEF"/>
    <w:rsid w:val="009B044A"/>
    <w:rsid w:val="009B13D3"/>
    <w:rsid w:val="009B4448"/>
    <w:rsid w:val="009B4B63"/>
    <w:rsid w:val="009B4E71"/>
    <w:rsid w:val="009C4BDC"/>
    <w:rsid w:val="009D0AC9"/>
    <w:rsid w:val="009D555B"/>
    <w:rsid w:val="009D6008"/>
    <w:rsid w:val="009D6B6A"/>
    <w:rsid w:val="009E27B9"/>
    <w:rsid w:val="009E3230"/>
    <w:rsid w:val="009E43AA"/>
    <w:rsid w:val="009F1ABE"/>
    <w:rsid w:val="009F4ACC"/>
    <w:rsid w:val="009F5F28"/>
    <w:rsid w:val="009F7823"/>
    <w:rsid w:val="00A00305"/>
    <w:rsid w:val="00A00E52"/>
    <w:rsid w:val="00A0604B"/>
    <w:rsid w:val="00A065A4"/>
    <w:rsid w:val="00A07244"/>
    <w:rsid w:val="00A12B87"/>
    <w:rsid w:val="00A20920"/>
    <w:rsid w:val="00A22887"/>
    <w:rsid w:val="00A230EA"/>
    <w:rsid w:val="00A253DA"/>
    <w:rsid w:val="00A25814"/>
    <w:rsid w:val="00A260EB"/>
    <w:rsid w:val="00A32AD5"/>
    <w:rsid w:val="00A354FC"/>
    <w:rsid w:val="00A428A9"/>
    <w:rsid w:val="00A43661"/>
    <w:rsid w:val="00A452B2"/>
    <w:rsid w:val="00A475C2"/>
    <w:rsid w:val="00A56CBE"/>
    <w:rsid w:val="00A60604"/>
    <w:rsid w:val="00A61247"/>
    <w:rsid w:val="00A62AC1"/>
    <w:rsid w:val="00A636E6"/>
    <w:rsid w:val="00A67563"/>
    <w:rsid w:val="00A70996"/>
    <w:rsid w:val="00A719EF"/>
    <w:rsid w:val="00A723E4"/>
    <w:rsid w:val="00A72694"/>
    <w:rsid w:val="00A73AFB"/>
    <w:rsid w:val="00A75CC7"/>
    <w:rsid w:val="00A75CCC"/>
    <w:rsid w:val="00A823C8"/>
    <w:rsid w:val="00A86BD7"/>
    <w:rsid w:val="00A86E76"/>
    <w:rsid w:val="00A87242"/>
    <w:rsid w:val="00A92EA1"/>
    <w:rsid w:val="00A941DA"/>
    <w:rsid w:val="00AA0193"/>
    <w:rsid w:val="00AA08A6"/>
    <w:rsid w:val="00AA2EA0"/>
    <w:rsid w:val="00AA3284"/>
    <w:rsid w:val="00AB12AB"/>
    <w:rsid w:val="00AB49CB"/>
    <w:rsid w:val="00AB5CA8"/>
    <w:rsid w:val="00AC4383"/>
    <w:rsid w:val="00AC69A3"/>
    <w:rsid w:val="00AC7786"/>
    <w:rsid w:val="00AD19DC"/>
    <w:rsid w:val="00AD7DAA"/>
    <w:rsid w:val="00AE0A9B"/>
    <w:rsid w:val="00AE2072"/>
    <w:rsid w:val="00AE25F6"/>
    <w:rsid w:val="00AE4E59"/>
    <w:rsid w:val="00AE5723"/>
    <w:rsid w:val="00AE5A08"/>
    <w:rsid w:val="00AF14A4"/>
    <w:rsid w:val="00AF5491"/>
    <w:rsid w:val="00AF60B3"/>
    <w:rsid w:val="00B00A36"/>
    <w:rsid w:val="00B01550"/>
    <w:rsid w:val="00B02497"/>
    <w:rsid w:val="00B035EC"/>
    <w:rsid w:val="00B065C2"/>
    <w:rsid w:val="00B06958"/>
    <w:rsid w:val="00B14033"/>
    <w:rsid w:val="00B15658"/>
    <w:rsid w:val="00B17037"/>
    <w:rsid w:val="00B221B9"/>
    <w:rsid w:val="00B22537"/>
    <w:rsid w:val="00B22EEE"/>
    <w:rsid w:val="00B243CE"/>
    <w:rsid w:val="00B249ED"/>
    <w:rsid w:val="00B25C8F"/>
    <w:rsid w:val="00B30D83"/>
    <w:rsid w:val="00B32BAF"/>
    <w:rsid w:val="00B3378A"/>
    <w:rsid w:val="00B34DFD"/>
    <w:rsid w:val="00B354BF"/>
    <w:rsid w:val="00B3595C"/>
    <w:rsid w:val="00B406E3"/>
    <w:rsid w:val="00B42369"/>
    <w:rsid w:val="00B46A3E"/>
    <w:rsid w:val="00B46D16"/>
    <w:rsid w:val="00B476F5"/>
    <w:rsid w:val="00B5027D"/>
    <w:rsid w:val="00B52EE4"/>
    <w:rsid w:val="00B5604A"/>
    <w:rsid w:val="00B564B2"/>
    <w:rsid w:val="00B6143D"/>
    <w:rsid w:val="00B660DD"/>
    <w:rsid w:val="00B70C84"/>
    <w:rsid w:val="00B71548"/>
    <w:rsid w:val="00B7340F"/>
    <w:rsid w:val="00B7549E"/>
    <w:rsid w:val="00B75703"/>
    <w:rsid w:val="00B75A27"/>
    <w:rsid w:val="00B75CBC"/>
    <w:rsid w:val="00B82359"/>
    <w:rsid w:val="00B8465F"/>
    <w:rsid w:val="00B85A2B"/>
    <w:rsid w:val="00B869B1"/>
    <w:rsid w:val="00B9298F"/>
    <w:rsid w:val="00B93376"/>
    <w:rsid w:val="00B93E7F"/>
    <w:rsid w:val="00B9440A"/>
    <w:rsid w:val="00BA1C0E"/>
    <w:rsid w:val="00BA5DCB"/>
    <w:rsid w:val="00BA6356"/>
    <w:rsid w:val="00BA65DF"/>
    <w:rsid w:val="00BA6ED6"/>
    <w:rsid w:val="00BA72D0"/>
    <w:rsid w:val="00BB0A31"/>
    <w:rsid w:val="00BB0D8F"/>
    <w:rsid w:val="00BB1711"/>
    <w:rsid w:val="00BB3A43"/>
    <w:rsid w:val="00BC1F82"/>
    <w:rsid w:val="00BC4161"/>
    <w:rsid w:val="00BC5D63"/>
    <w:rsid w:val="00BC604A"/>
    <w:rsid w:val="00BC75E3"/>
    <w:rsid w:val="00BC7658"/>
    <w:rsid w:val="00BD5409"/>
    <w:rsid w:val="00BE0AAD"/>
    <w:rsid w:val="00BE1F06"/>
    <w:rsid w:val="00BE2573"/>
    <w:rsid w:val="00BE3EF6"/>
    <w:rsid w:val="00BE5761"/>
    <w:rsid w:val="00BE5D74"/>
    <w:rsid w:val="00BF164D"/>
    <w:rsid w:val="00BF479E"/>
    <w:rsid w:val="00BF48CB"/>
    <w:rsid w:val="00BF697B"/>
    <w:rsid w:val="00BF7804"/>
    <w:rsid w:val="00C06F90"/>
    <w:rsid w:val="00C1037A"/>
    <w:rsid w:val="00C10DBF"/>
    <w:rsid w:val="00C1269F"/>
    <w:rsid w:val="00C13C37"/>
    <w:rsid w:val="00C162D0"/>
    <w:rsid w:val="00C167AB"/>
    <w:rsid w:val="00C22CE2"/>
    <w:rsid w:val="00C26739"/>
    <w:rsid w:val="00C31C84"/>
    <w:rsid w:val="00C355C8"/>
    <w:rsid w:val="00C35682"/>
    <w:rsid w:val="00C35A52"/>
    <w:rsid w:val="00C3635E"/>
    <w:rsid w:val="00C40806"/>
    <w:rsid w:val="00C4143F"/>
    <w:rsid w:val="00C42D88"/>
    <w:rsid w:val="00C43305"/>
    <w:rsid w:val="00C500D9"/>
    <w:rsid w:val="00C51B37"/>
    <w:rsid w:val="00C5685F"/>
    <w:rsid w:val="00C60528"/>
    <w:rsid w:val="00C60DD0"/>
    <w:rsid w:val="00C641F8"/>
    <w:rsid w:val="00C6456F"/>
    <w:rsid w:val="00C65140"/>
    <w:rsid w:val="00C66B42"/>
    <w:rsid w:val="00C709A6"/>
    <w:rsid w:val="00C71714"/>
    <w:rsid w:val="00C727E6"/>
    <w:rsid w:val="00C72A83"/>
    <w:rsid w:val="00C73987"/>
    <w:rsid w:val="00C74387"/>
    <w:rsid w:val="00C75950"/>
    <w:rsid w:val="00C7640F"/>
    <w:rsid w:val="00C80A91"/>
    <w:rsid w:val="00C813CE"/>
    <w:rsid w:val="00C834D5"/>
    <w:rsid w:val="00C83CD5"/>
    <w:rsid w:val="00C8738F"/>
    <w:rsid w:val="00C91F4D"/>
    <w:rsid w:val="00C91FBA"/>
    <w:rsid w:val="00C93BC3"/>
    <w:rsid w:val="00C93BDC"/>
    <w:rsid w:val="00C95385"/>
    <w:rsid w:val="00CA2231"/>
    <w:rsid w:val="00CA2582"/>
    <w:rsid w:val="00CA31EC"/>
    <w:rsid w:val="00CA39B2"/>
    <w:rsid w:val="00CA443C"/>
    <w:rsid w:val="00CA7E65"/>
    <w:rsid w:val="00CB3F48"/>
    <w:rsid w:val="00CB4B87"/>
    <w:rsid w:val="00CB6EC0"/>
    <w:rsid w:val="00CB7496"/>
    <w:rsid w:val="00CC2006"/>
    <w:rsid w:val="00CC3EF6"/>
    <w:rsid w:val="00CC6CD0"/>
    <w:rsid w:val="00CD0F96"/>
    <w:rsid w:val="00CD1C5A"/>
    <w:rsid w:val="00CD1C93"/>
    <w:rsid w:val="00CD2E70"/>
    <w:rsid w:val="00CD3C9E"/>
    <w:rsid w:val="00CD4F72"/>
    <w:rsid w:val="00CD5186"/>
    <w:rsid w:val="00CD7E34"/>
    <w:rsid w:val="00CE0D1A"/>
    <w:rsid w:val="00CE3B23"/>
    <w:rsid w:val="00CF253A"/>
    <w:rsid w:val="00CF3882"/>
    <w:rsid w:val="00CF3FE1"/>
    <w:rsid w:val="00CF4A8C"/>
    <w:rsid w:val="00D01242"/>
    <w:rsid w:val="00D038BA"/>
    <w:rsid w:val="00D04A63"/>
    <w:rsid w:val="00D108B1"/>
    <w:rsid w:val="00D11388"/>
    <w:rsid w:val="00D11E07"/>
    <w:rsid w:val="00D250E5"/>
    <w:rsid w:val="00D3500A"/>
    <w:rsid w:val="00D35CB6"/>
    <w:rsid w:val="00D406AF"/>
    <w:rsid w:val="00D4461F"/>
    <w:rsid w:val="00D4599B"/>
    <w:rsid w:val="00D47E5C"/>
    <w:rsid w:val="00D502AC"/>
    <w:rsid w:val="00D51937"/>
    <w:rsid w:val="00D54ED7"/>
    <w:rsid w:val="00D55741"/>
    <w:rsid w:val="00D57A21"/>
    <w:rsid w:val="00D6033B"/>
    <w:rsid w:val="00D616D4"/>
    <w:rsid w:val="00D62943"/>
    <w:rsid w:val="00D62F81"/>
    <w:rsid w:val="00D63AB5"/>
    <w:rsid w:val="00D6603D"/>
    <w:rsid w:val="00D705E8"/>
    <w:rsid w:val="00D71FF3"/>
    <w:rsid w:val="00D72CF6"/>
    <w:rsid w:val="00D75C0B"/>
    <w:rsid w:val="00D77FCA"/>
    <w:rsid w:val="00D81325"/>
    <w:rsid w:val="00D82CE0"/>
    <w:rsid w:val="00D834F5"/>
    <w:rsid w:val="00D857E8"/>
    <w:rsid w:val="00D9017F"/>
    <w:rsid w:val="00D92117"/>
    <w:rsid w:val="00DA09E5"/>
    <w:rsid w:val="00DA295C"/>
    <w:rsid w:val="00DA7E38"/>
    <w:rsid w:val="00DB0610"/>
    <w:rsid w:val="00DC2E3D"/>
    <w:rsid w:val="00DC6944"/>
    <w:rsid w:val="00DC7ED9"/>
    <w:rsid w:val="00DD134C"/>
    <w:rsid w:val="00DD25A1"/>
    <w:rsid w:val="00DD2C26"/>
    <w:rsid w:val="00DD4D7F"/>
    <w:rsid w:val="00DD6056"/>
    <w:rsid w:val="00DE2952"/>
    <w:rsid w:val="00DE5D7F"/>
    <w:rsid w:val="00DE6408"/>
    <w:rsid w:val="00DF0B20"/>
    <w:rsid w:val="00DF0D03"/>
    <w:rsid w:val="00DF1239"/>
    <w:rsid w:val="00DF1F42"/>
    <w:rsid w:val="00DF316B"/>
    <w:rsid w:val="00DF4E92"/>
    <w:rsid w:val="00E0194B"/>
    <w:rsid w:val="00E22B7C"/>
    <w:rsid w:val="00E24079"/>
    <w:rsid w:val="00E24743"/>
    <w:rsid w:val="00E25616"/>
    <w:rsid w:val="00E25684"/>
    <w:rsid w:val="00E26F9A"/>
    <w:rsid w:val="00E30C20"/>
    <w:rsid w:val="00E3729D"/>
    <w:rsid w:val="00E3798E"/>
    <w:rsid w:val="00E51A0B"/>
    <w:rsid w:val="00E53ABE"/>
    <w:rsid w:val="00E53D57"/>
    <w:rsid w:val="00E541A4"/>
    <w:rsid w:val="00E562A5"/>
    <w:rsid w:val="00E563C3"/>
    <w:rsid w:val="00E57017"/>
    <w:rsid w:val="00E60208"/>
    <w:rsid w:val="00E64A7A"/>
    <w:rsid w:val="00E66A49"/>
    <w:rsid w:val="00E67C59"/>
    <w:rsid w:val="00E67FA0"/>
    <w:rsid w:val="00E70259"/>
    <w:rsid w:val="00E70892"/>
    <w:rsid w:val="00E7359A"/>
    <w:rsid w:val="00E73E0C"/>
    <w:rsid w:val="00E75349"/>
    <w:rsid w:val="00E8184D"/>
    <w:rsid w:val="00E843C2"/>
    <w:rsid w:val="00E8485A"/>
    <w:rsid w:val="00E878C9"/>
    <w:rsid w:val="00E938FE"/>
    <w:rsid w:val="00E94BCF"/>
    <w:rsid w:val="00E96125"/>
    <w:rsid w:val="00E97198"/>
    <w:rsid w:val="00EA0456"/>
    <w:rsid w:val="00EA2B4E"/>
    <w:rsid w:val="00EA2F73"/>
    <w:rsid w:val="00EA494C"/>
    <w:rsid w:val="00EA548B"/>
    <w:rsid w:val="00EB13C8"/>
    <w:rsid w:val="00EB27FB"/>
    <w:rsid w:val="00EB6EA2"/>
    <w:rsid w:val="00EC3A1C"/>
    <w:rsid w:val="00EC48BF"/>
    <w:rsid w:val="00EC4B3C"/>
    <w:rsid w:val="00ED0DDD"/>
    <w:rsid w:val="00ED1B03"/>
    <w:rsid w:val="00ED251D"/>
    <w:rsid w:val="00ED2685"/>
    <w:rsid w:val="00ED2E4D"/>
    <w:rsid w:val="00ED375A"/>
    <w:rsid w:val="00ED6DE0"/>
    <w:rsid w:val="00ED74A9"/>
    <w:rsid w:val="00EE38FC"/>
    <w:rsid w:val="00EE3D95"/>
    <w:rsid w:val="00EE59EC"/>
    <w:rsid w:val="00EE61D2"/>
    <w:rsid w:val="00EE7EA9"/>
    <w:rsid w:val="00EF0FB6"/>
    <w:rsid w:val="00EF2C9C"/>
    <w:rsid w:val="00EF54CA"/>
    <w:rsid w:val="00F00202"/>
    <w:rsid w:val="00F031EB"/>
    <w:rsid w:val="00F0327E"/>
    <w:rsid w:val="00F055E3"/>
    <w:rsid w:val="00F05BBE"/>
    <w:rsid w:val="00F0687D"/>
    <w:rsid w:val="00F06DEE"/>
    <w:rsid w:val="00F0703C"/>
    <w:rsid w:val="00F074C3"/>
    <w:rsid w:val="00F07E75"/>
    <w:rsid w:val="00F111CA"/>
    <w:rsid w:val="00F11310"/>
    <w:rsid w:val="00F13F08"/>
    <w:rsid w:val="00F157BE"/>
    <w:rsid w:val="00F22505"/>
    <w:rsid w:val="00F2732F"/>
    <w:rsid w:val="00F30FC0"/>
    <w:rsid w:val="00F31AD0"/>
    <w:rsid w:val="00F3239C"/>
    <w:rsid w:val="00F3328D"/>
    <w:rsid w:val="00F35B72"/>
    <w:rsid w:val="00F370A7"/>
    <w:rsid w:val="00F4049F"/>
    <w:rsid w:val="00F41E14"/>
    <w:rsid w:val="00F43C90"/>
    <w:rsid w:val="00F451E6"/>
    <w:rsid w:val="00F46D07"/>
    <w:rsid w:val="00F501A7"/>
    <w:rsid w:val="00F52CB8"/>
    <w:rsid w:val="00F531D6"/>
    <w:rsid w:val="00F5425A"/>
    <w:rsid w:val="00F64FFA"/>
    <w:rsid w:val="00F66598"/>
    <w:rsid w:val="00F6783F"/>
    <w:rsid w:val="00F727E8"/>
    <w:rsid w:val="00F73DC2"/>
    <w:rsid w:val="00F73F1C"/>
    <w:rsid w:val="00F744C8"/>
    <w:rsid w:val="00F75FE2"/>
    <w:rsid w:val="00F76A23"/>
    <w:rsid w:val="00F76ACD"/>
    <w:rsid w:val="00F7758F"/>
    <w:rsid w:val="00F8029F"/>
    <w:rsid w:val="00F802D1"/>
    <w:rsid w:val="00F80602"/>
    <w:rsid w:val="00F81D1B"/>
    <w:rsid w:val="00F849B4"/>
    <w:rsid w:val="00F86C05"/>
    <w:rsid w:val="00F87CEA"/>
    <w:rsid w:val="00F94F80"/>
    <w:rsid w:val="00FA0D70"/>
    <w:rsid w:val="00FA1036"/>
    <w:rsid w:val="00FA13FE"/>
    <w:rsid w:val="00FA4E35"/>
    <w:rsid w:val="00FA4EE6"/>
    <w:rsid w:val="00FA56C9"/>
    <w:rsid w:val="00FA59D1"/>
    <w:rsid w:val="00FB2FBB"/>
    <w:rsid w:val="00FB33B8"/>
    <w:rsid w:val="00FB5135"/>
    <w:rsid w:val="00FB7291"/>
    <w:rsid w:val="00FC0696"/>
    <w:rsid w:val="00FC75F2"/>
    <w:rsid w:val="00FD1889"/>
    <w:rsid w:val="00FD4404"/>
    <w:rsid w:val="00FD7EAE"/>
    <w:rsid w:val="00FE0637"/>
    <w:rsid w:val="00FE11A5"/>
    <w:rsid w:val="00FE1AAF"/>
    <w:rsid w:val="00FE1D69"/>
    <w:rsid w:val="00FE2D50"/>
    <w:rsid w:val="00FE3F90"/>
    <w:rsid w:val="00FE5729"/>
    <w:rsid w:val="00FE6B0E"/>
    <w:rsid w:val="00FF6B70"/>
    <w:rsid w:val="00FF6FC0"/>
    <w:rsid w:val="2C662DA8"/>
    <w:rsid w:val="317F23EF"/>
    <w:rsid w:val="3531405C"/>
    <w:rsid w:val="538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line="360" w:lineRule="auto" w:after="0"/>
      <w:ind w:firstLine="709"/>
      <w:jc w:val="both"/>
    </w:pPr>
    <w:rPr>
      <w:rFonts w:ascii="Times New Roman" w:hAnsi="Times New Roman" w:eastAsia="Calibri" w:cs="Times New Roman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53"/>
    <w:qFormat/>
    <w:uiPriority w:val="0"/>
    <w:pPr>
      <w:keepNext/>
      <w:keepLines/>
      <w:widowControl w:val="0"/>
      <w:spacing w:before="240" w:after="160"/>
      <w:ind w:firstLine="0"/>
      <w:jc w:val="center"/>
      <w:outlineLvl w:val="0"/>
    </w:pPr>
    <w:rPr>
      <w:rFonts w:ascii="Times New Roman" w:hAnsi="Times New Roman" w:eastAsia="Times New Roman"/>
      <w:b/>
      <w:bCs/>
      <w:i w:val="0"/>
      <w:kern w:val="32"/>
      <w:sz w:val="32"/>
      <w:szCs w:val="32"/>
      <w:lang w:val="zh-CN" w:eastAsia="ru-RU"/>
    </w:rPr>
  </w:style>
  <w:style w:type="paragraph" w:styleId="3">
    <w:name w:val="heading 2"/>
    <w:basedOn w:val="1"/>
    <w:next w:val="1"/>
    <w:link w:val="51"/>
    <w:qFormat/>
    <w:uiPriority w:val="9"/>
    <w:pPr>
      <w:keepNext/>
      <w:keepLines/>
      <w:widowControl w:val="0"/>
      <w:spacing w:before="200" w:after="100"/>
      <w:ind w:firstLine="0"/>
      <w:jc w:val="left"/>
      <w:outlineLvl w:val="1"/>
    </w:pPr>
    <w:rPr>
      <w:rFonts w:ascii="Times New Roman" w:hAnsi="Times New Roman" w:eastAsia="Times New Roman"/>
      <w:b/>
      <w:bCs/>
      <w:i w:val="0"/>
      <w:iCs/>
      <w:sz w:val="28"/>
      <w:szCs w:val="28"/>
      <w:lang w:val="zh-CN" w:eastAsia="ru-RU"/>
    </w:rPr>
  </w:style>
  <w:style w:type="paragraph" w:styleId="4">
    <w:name w:val="heading 3"/>
    <w:basedOn w:val="1"/>
    <w:next w:val="1"/>
    <w:link w:val="47"/>
    <w:qFormat/>
    <w:uiPriority w:val="9"/>
    <w:pPr>
      <w:keepNext/>
      <w:keepLines/>
      <w:widowControl w:val="0"/>
      <w:spacing w:before="140" w:after="80"/>
      <w:ind w:firstLine="0"/>
      <w:jc w:val="left"/>
      <w:outlineLvl w:val="2"/>
    </w:pPr>
    <w:rPr>
      <w:rFonts w:ascii="Times New Roman" w:hAnsi="Times New Roman" w:eastAsia="Times New Roman"/>
      <w:b/>
      <w:bCs/>
      <w:i w:val="0"/>
      <w:sz w:val="26"/>
      <w:szCs w:val="26"/>
      <w:lang w:val="zh-CN" w:eastAsia="ru-RU"/>
    </w:rPr>
  </w:style>
  <w:style w:type="paragraph" w:styleId="5">
    <w:name w:val="heading 4"/>
    <w:basedOn w:val="1"/>
    <w:next w:val="1"/>
    <w:link w:val="45"/>
    <w:qFormat/>
    <w:uiPriority w:val="0"/>
    <w:pPr>
      <w:keepNext/>
      <w:widowControl w:val="0"/>
      <w:spacing w:before="240" w:after="60"/>
      <w:ind w:firstLine="567"/>
      <w:outlineLvl w:val="3"/>
    </w:pPr>
    <w:rPr>
      <w:rFonts w:ascii="Times New Roman" w:hAnsi="Times New Roman" w:eastAsia="Times New Roman"/>
      <w:b/>
      <w:bCs/>
      <w:sz w:val="28"/>
      <w:szCs w:val="28"/>
      <w:lang w:val="zh-CN"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unhideWhenUsed/>
    <w:qFormat/>
    <w:uiPriority w:val="99"/>
    <w:rPr>
      <w:color w:val="800080"/>
      <w:u w:val="single"/>
    </w:rPr>
  </w:style>
  <w:style w:type="character" w:styleId="9">
    <w:name w:val="footnote reference"/>
    <w:qFormat/>
    <w:uiPriority w:val="0"/>
    <w:rPr>
      <w:vertAlign w:val="superscript"/>
    </w:rPr>
  </w:style>
  <w:style w:type="character" w:styleId="10">
    <w:name w:val="endnote reference"/>
    <w:basedOn w:val="6"/>
    <w:semiHidden/>
    <w:unhideWhenUsed/>
    <w:qFormat/>
    <w:uiPriority w:val="99"/>
    <w:rPr>
      <w:vertAlign w:val="superscript"/>
    </w:rPr>
  </w:style>
  <w:style w:type="character" w:styleId="11">
    <w:name w:val="Emphasis"/>
    <w:qFormat/>
    <w:uiPriority w:val="0"/>
    <w:rPr>
      <w:i/>
      <w:iCs/>
    </w:rPr>
  </w:style>
  <w:style w:type="character" w:styleId="12">
    <w:name w:val="Hyperlink"/>
    <w:qFormat/>
    <w:uiPriority w:val="99"/>
    <w:rPr>
      <w:color w:val="0000FF"/>
      <w:u w:val="single"/>
    </w:rPr>
  </w:style>
  <w:style w:type="character" w:styleId="13">
    <w:name w:val="HTML Code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page number"/>
    <w:basedOn w:val="6"/>
    <w:qFormat/>
    <w:uiPriority w:val="0"/>
  </w:style>
  <w:style w:type="character" w:styleId="15">
    <w:name w:val="Strong"/>
    <w:qFormat/>
    <w:uiPriority w:val="22"/>
    <w:rPr>
      <w:b/>
      <w:bCs/>
    </w:rPr>
  </w:style>
  <w:style w:type="paragraph" w:styleId="16">
    <w:name w:val="Balloon Text"/>
    <w:basedOn w:val="1"/>
    <w:link w:val="52"/>
    <w:unhideWhenUsed/>
    <w:qFormat/>
    <w:uiPriority w:val="99"/>
    <w:rPr>
      <w:rFonts w:ascii="Tahoma" w:hAnsi="Tahoma"/>
      <w:szCs w:val="16"/>
      <w:lang w:val="zh-CN"/>
    </w:rPr>
  </w:style>
  <w:style w:type="paragraph" w:styleId="17">
    <w:name w:val="Body Text 2"/>
    <w:basedOn w:val="1"/>
    <w:link w:val="41"/>
    <w:qFormat/>
    <w:uiPriority w:val="0"/>
    <w:pPr>
      <w:spacing w:after="120" w:line="480" w:lineRule="auto"/>
      <w:jc w:val="left"/>
    </w:pPr>
    <w:rPr>
      <w:rFonts w:ascii="Times New Roman" w:hAnsi="Times New Roman" w:eastAsia="Times New Roman"/>
      <w:sz w:val="24"/>
      <w:lang w:val="zh-CN" w:eastAsia="ru-RU"/>
    </w:rPr>
  </w:style>
  <w:style w:type="paragraph" w:styleId="18">
    <w:name w:val="endnote text"/>
    <w:basedOn w:val="1"/>
    <w:link w:val="100"/>
    <w:semiHidden/>
    <w:unhideWhenUsed/>
    <w:qFormat/>
    <w:uiPriority w:val="99"/>
    <w:rPr>
      <w:sz w:val="20"/>
      <w:szCs w:val="20"/>
    </w:rPr>
  </w:style>
  <w:style w:type="paragraph" w:styleId="19">
    <w:name w:val="caption"/>
    <w:basedOn w:val="1"/>
    <w:qFormat/>
    <w:uiPriority w:val="0"/>
    <w:pPr>
      <w:widowControl w:val="0"/>
      <w:ind w:right="-624"/>
      <w:jc w:val="center"/>
    </w:pPr>
    <w:rPr>
      <w:rFonts w:ascii="Times New Roman" w:hAnsi="Times New Roman" w:eastAsia="Times New Roman"/>
      <w:b/>
      <w:sz w:val="24"/>
      <w:szCs w:val="20"/>
      <w:lang w:eastAsia="ru-RU"/>
    </w:rPr>
  </w:style>
  <w:style w:type="paragraph" w:styleId="20">
    <w:name w:val="index 1"/>
    <w:basedOn w:val="1"/>
    <w:next w:val="1"/>
    <w:autoRedefine/>
    <w:semiHidden/>
    <w:unhideWhenUsed/>
    <w:qFormat/>
    <w:uiPriority w:val="99"/>
    <w:pPr>
      <w:ind w:left="160" w:hanging="160"/>
    </w:pPr>
  </w:style>
  <w:style w:type="paragraph" w:styleId="21">
    <w:name w:val="Document Map"/>
    <w:basedOn w:val="1"/>
    <w:link w:val="55"/>
    <w:semiHidden/>
    <w:qFormat/>
    <w:uiPriority w:val="0"/>
    <w:pPr>
      <w:widowControl w:val="0"/>
      <w:shd w:val="clear" w:color="auto" w:fill="000080"/>
      <w:ind w:firstLine="567"/>
    </w:pPr>
    <w:rPr>
      <w:rFonts w:ascii="Tahoma" w:hAnsi="Tahoma" w:eastAsia="Times New Roman"/>
      <w:sz w:val="20"/>
      <w:szCs w:val="20"/>
      <w:lang w:val="zh-CN" w:eastAsia="ru-RU"/>
    </w:rPr>
  </w:style>
  <w:style w:type="paragraph" w:styleId="22">
    <w:name w:val="footnote text"/>
    <w:basedOn w:val="1"/>
    <w:link w:val="60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eastAsia="Times New Roman"/>
      <w:sz w:val="20"/>
      <w:szCs w:val="20"/>
      <w:lang w:val="zh-CN" w:eastAsia="ru-RU"/>
    </w:rPr>
  </w:style>
  <w:style w:type="paragraph" w:styleId="23">
    <w:name w:val="header"/>
    <w:basedOn w:val="1"/>
    <w:link w:val="35"/>
    <w:qFormat/>
    <w:uiPriority w:val="0"/>
    <w:pPr>
      <w:widowControl w:val="0"/>
      <w:tabs>
        <w:tab w:val="center" w:pos="4677"/>
        <w:tab w:val="right" w:pos="9355"/>
      </w:tabs>
      <w:ind w:firstLine="567"/>
    </w:pPr>
    <w:rPr>
      <w:rFonts w:ascii="Times New Roman" w:hAnsi="Times New Roman" w:eastAsia="Times New Roman"/>
      <w:sz w:val="20"/>
      <w:szCs w:val="20"/>
      <w:lang w:val="zh-CN" w:eastAsia="ru-RU"/>
    </w:rPr>
  </w:style>
  <w:style w:type="paragraph" w:styleId="24">
    <w:name w:val="Body Text"/>
    <w:basedOn w:val="1"/>
    <w:link w:val="46"/>
    <w:qFormat/>
    <w:uiPriority w:val="0"/>
    <w:pPr>
      <w:widowControl w:val="0"/>
      <w:spacing w:after="120"/>
      <w:ind w:firstLine="567"/>
    </w:pPr>
    <w:rPr>
      <w:rFonts w:ascii="Times New Roman" w:hAnsi="Times New Roman" w:eastAsia="Times New Roman"/>
      <w:sz w:val="20"/>
      <w:szCs w:val="20"/>
      <w:lang w:val="zh-CN" w:eastAsia="ru-RU"/>
    </w:rPr>
  </w:style>
  <w:style w:type="paragraph" w:styleId="25">
    <w:name w:val="index heading"/>
    <w:basedOn w:val="1"/>
    <w:next w:val="20"/>
    <w:semiHidden/>
    <w:unhideWhenUsed/>
    <w:qFormat/>
    <w:uiPriority w:val="99"/>
    <w:rPr>
      <w:rFonts w:ascii="Calibri Light" w:hAnsi="Calibri Light" w:eastAsia="Times New Roman"/>
      <w:b/>
      <w:bCs/>
    </w:rPr>
  </w:style>
  <w:style w:type="paragraph" w:styleId="26">
    <w:name w:val="toc 1"/>
    <w:basedOn w:val="1"/>
    <w:next w:val="1"/>
    <w:qFormat/>
    <w:uiPriority w:val="39"/>
    <w:pPr>
      <w:widowControl w:val="0"/>
      <w:tabs>
        <w:tab w:val="right" w:leader="dot" w:pos="9975"/>
      </w:tabs>
      <w:spacing w:line="360" w:lineRule="auto"/>
      <w:ind w:firstLine="567"/>
    </w:pPr>
    <w:rPr>
      <w:rFonts w:ascii="Times New Roman" w:hAnsi="Times New Roman" w:eastAsia="Times New Roman"/>
      <w:sz w:val="20"/>
      <w:szCs w:val="20"/>
      <w:lang w:eastAsia="ru-RU"/>
    </w:rPr>
  </w:style>
  <w:style w:type="paragraph" w:styleId="27">
    <w:name w:val="toc 3"/>
    <w:basedOn w:val="1"/>
    <w:next w:val="1"/>
    <w:qFormat/>
    <w:uiPriority w:val="39"/>
    <w:pPr>
      <w:widowControl w:val="0"/>
      <w:ind w:left="400" w:firstLine="567"/>
    </w:pPr>
    <w:rPr>
      <w:rFonts w:ascii="Times New Roman" w:hAnsi="Times New Roman" w:eastAsia="Times New Roman"/>
      <w:sz w:val="20"/>
      <w:szCs w:val="20"/>
      <w:lang w:eastAsia="ru-RU"/>
    </w:rPr>
  </w:style>
  <w:style w:type="paragraph" w:styleId="28">
    <w:name w:val="toc 2"/>
    <w:basedOn w:val="1"/>
    <w:next w:val="1"/>
    <w:qFormat/>
    <w:uiPriority w:val="39"/>
    <w:pPr>
      <w:widowControl w:val="0"/>
      <w:ind w:left="200" w:firstLine="567"/>
    </w:pPr>
    <w:rPr>
      <w:rFonts w:ascii="Times New Roman" w:hAnsi="Times New Roman" w:eastAsia="Times New Roman"/>
      <w:sz w:val="20"/>
      <w:szCs w:val="20"/>
      <w:lang w:eastAsia="ru-RU"/>
    </w:rPr>
  </w:style>
  <w:style w:type="paragraph" w:styleId="29">
    <w:name w:val="toc 4"/>
    <w:basedOn w:val="1"/>
    <w:next w:val="1"/>
    <w:semiHidden/>
    <w:qFormat/>
    <w:uiPriority w:val="0"/>
    <w:pPr>
      <w:widowControl w:val="0"/>
      <w:ind w:left="600" w:firstLine="567"/>
    </w:pPr>
    <w:rPr>
      <w:rFonts w:ascii="Times New Roman" w:hAnsi="Times New Roman" w:eastAsia="Times New Roman"/>
      <w:sz w:val="20"/>
      <w:szCs w:val="20"/>
      <w:lang w:eastAsia="ru-RU"/>
    </w:rPr>
  </w:style>
  <w:style w:type="paragraph" w:styleId="30">
    <w:name w:val="Title"/>
    <w:basedOn w:val="1"/>
    <w:next w:val="24"/>
    <w:link w:val="44"/>
    <w:qFormat/>
    <w:uiPriority w:val="0"/>
    <w:pPr>
      <w:keepNext/>
      <w:widowControl w:val="0"/>
      <w:suppressAutoHyphens/>
      <w:spacing w:before="240" w:after="120" w:line="360" w:lineRule="auto"/>
      <w:ind w:firstLine="720"/>
    </w:pPr>
    <w:rPr>
      <w:rFonts w:ascii="Arial" w:hAnsi="Arial" w:eastAsia="Arial Unicode MS" w:cs="Tahoma"/>
      <w:sz w:val="28"/>
      <w:szCs w:val="28"/>
      <w:lang w:eastAsia="ar-SA"/>
    </w:rPr>
  </w:style>
  <w:style w:type="paragraph" w:styleId="31">
    <w:name w:val="footer"/>
    <w:basedOn w:val="1"/>
    <w:link w:val="40"/>
    <w:qFormat/>
    <w:uiPriority w:val="0"/>
    <w:pPr>
      <w:widowControl w:val="0"/>
      <w:tabs>
        <w:tab w:val="center" w:pos="4677"/>
        <w:tab w:val="right" w:pos="9355"/>
      </w:tabs>
      <w:ind w:firstLine="567"/>
    </w:pPr>
    <w:rPr>
      <w:rFonts w:ascii="Times New Roman" w:hAnsi="Times New Roman" w:eastAsia="Times New Roman"/>
      <w:sz w:val="20"/>
      <w:szCs w:val="20"/>
      <w:lang w:val="zh-CN" w:eastAsia="ru-RU"/>
    </w:rPr>
  </w:style>
  <w:style w:type="paragraph" w:styleId="32">
    <w:name w:val="Normal (Web)"/>
    <w:basedOn w:val="1"/>
    <w:semiHidden/>
    <w:unhideWhenUsed/>
    <w:qFormat/>
    <w:uiPriority w:val="99"/>
    <w:rPr>
      <w:sz w:val="24"/>
    </w:rPr>
  </w:style>
  <w:style w:type="paragraph" w:styleId="33">
    <w:name w:val="HTML Preformatted"/>
    <w:basedOn w:val="1"/>
    <w:link w:val="8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Times New Roman"/>
      <w:sz w:val="20"/>
      <w:szCs w:val="20"/>
      <w:lang w:val="zh-CN" w:eastAsia="zh-CN"/>
    </w:rPr>
  </w:style>
  <w:style w:type="table" w:styleId="34">
    <w:name w:val="Table Grid"/>
    <w:basedOn w:val="7"/>
    <w:qFormat/>
    <w:uiPriority w:val="0"/>
    <w:pPr>
      <w:widowControl w:val="0"/>
      <w:ind w:firstLine="567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5">
    <w:name w:val="Верхний колонтитул Знак"/>
    <w:link w:val="23"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36">
    <w:name w:val="список Знак Знак"/>
    <w:link w:val="37"/>
    <w:qFormat/>
    <w:uiPriority w:val="0"/>
    <w:rPr>
      <w:rFonts w:eastAsia="Times New Roman"/>
      <w:lang w:val="zh-CN" w:eastAsia="zh-CN"/>
    </w:rPr>
  </w:style>
  <w:style w:type="paragraph" w:customStyle="1" w:styleId="37">
    <w:name w:val="список Знак"/>
    <w:basedOn w:val="1"/>
    <w:link w:val="36"/>
    <w:qFormat/>
    <w:uiPriority w:val="0"/>
    <w:pPr>
      <w:numPr>
        <w:ilvl w:val="0"/>
        <w:numId w:val="1"/>
      </w:numPr>
      <w:overflowPunct w:val="0"/>
      <w:autoSpaceDE w:val="0"/>
      <w:autoSpaceDN w:val="0"/>
      <w:adjustRightInd w:val="0"/>
      <w:spacing w:after="80"/>
      <w:textAlignment w:val="baseline"/>
    </w:pPr>
    <w:rPr>
      <w:rFonts w:ascii="Times New Roman" w:hAnsi="Times New Roman" w:eastAsia="Times New Roman"/>
      <w:sz w:val="20"/>
      <w:szCs w:val="20"/>
      <w:lang w:val="zh-CN" w:eastAsia="zh-CN"/>
    </w:rPr>
  </w:style>
  <w:style w:type="character" w:customStyle="1" w:styleId="38">
    <w:name w:val="текст1 Знак Знак"/>
    <w:link w:val="39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39">
    <w:name w:val="текст1 Знак"/>
    <w:basedOn w:val="1"/>
    <w:link w:val="38"/>
    <w:qFormat/>
    <w:uiPriority w:val="0"/>
    <w:pPr>
      <w:spacing w:line="360" w:lineRule="auto"/>
      <w:ind w:firstLine="709"/>
    </w:pPr>
    <w:rPr>
      <w:rFonts w:ascii="Times New Roman" w:hAnsi="Times New Roman" w:eastAsia="Times New Roman"/>
      <w:sz w:val="24"/>
      <w:lang w:val="zh-CN" w:eastAsia="ru-RU"/>
    </w:rPr>
  </w:style>
  <w:style w:type="character" w:customStyle="1" w:styleId="40">
    <w:name w:val="Нижний колонтитул Знак"/>
    <w:link w:val="31"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41">
    <w:name w:val="Основной текст 2 Знак"/>
    <w:link w:val="17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42">
    <w:name w:val="Абзац списка Знак"/>
    <w:link w:val="43"/>
    <w:qFormat/>
    <w:uiPriority w:val="0"/>
    <w:rPr>
      <w:rFonts w:ascii="Calibri" w:hAnsi="Calibri" w:eastAsia="Calibri" w:cs="Times New Roman"/>
      <w:sz w:val="20"/>
      <w:szCs w:val="20"/>
    </w:rPr>
  </w:style>
  <w:style w:type="paragraph" w:styleId="43">
    <w:name w:val="List Paragraph"/>
    <w:basedOn w:val="1"/>
    <w:link w:val="42"/>
    <w:qFormat/>
    <w:uiPriority w:val="0"/>
    <w:pPr>
      <w:spacing w:line="276" w:lineRule="auto"/>
      <w:contextualSpacing/>
      <w:jc w:val="left"/>
    </w:pPr>
    <w:rPr>
      <w:rFonts w:ascii="Calibri" w:hAnsi="Calibri"/>
      <w:sz w:val="20"/>
      <w:szCs w:val="20"/>
      <w:lang w:val="zh-CN" w:eastAsia="zh-CN"/>
    </w:rPr>
  </w:style>
  <w:style w:type="character" w:customStyle="1" w:styleId="44">
    <w:name w:val="Заголовок Знак"/>
    <w:link w:val="30"/>
    <w:qFormat/>
    <w:uiPriority w:val="0"/>
    <w:rPr>
      <w:rFonts w:ascii="Times New Roman" w:hAnsi="Times New Roman" w:eastAsia="Times New Roman" w:cs="Times New Roman"/>
      <w:b/>
      <w:sz w:val="28"/>
      <w:szCs w:val="24"/>
      <w:lang w:eastAsia="ru-RU"/>
    </w:rPr>
  </w:style>
  <w:style w:type="character" w:customStyle="1" w:styleId="45">
    <w:name w:val="Заголовок 4 Знак"/>
    <w:link w:val="5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customStyle="1" w:styleId="46">
    <w:name w:val="Основной текст Знак"/>
    <w:link w:val="24"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47">
    <w:name w:val="Заголовок 3 Знак"/>
    <w:link w:val="4"/>
    <w:qFormat/>
    <w:uiPriority w:val="0"/>
    <w:rPr>
      <w:rFonts w:ascii="Arial" w:hAnsi="Arial" w:eastAsia="Times New Roman" w:cs="Arial"/>
      <w:b/>
      <w:bCs/>
      <w:sz w:val="26"/>
      <w:szCs w:val="26"/>
      <w:lang w:eastAsia="ru-RU"/>
    </w:rPr>
  </w:style>
  <w:style w:type="character" w:customStyle="1" w:styleId="48">
    <w:name w:val="Маркеры списка"/>
    <w:qFormat/>
    <w:uiPriority w:val="0"/>
    <w:rPr>
      <w:rFonts w:ascii="StarSymbol" w:hAnsi="StarSymbol" w:eastAsia="StarSymbol" w:cs="StarSymbol"/>
      <w:sz w:val="18"/>
      <w:szCs w:val="18"/>
    </w:rPr>
  </w:style>
  <w:style w:type="character" w:customStyle="1" w:styleId="49">
    <w:name w:val="Стиль А Знак"/>
    <w:link w:val="50"/>
    <w:qFormat/>
    <w:uiPriority w:val="0"/>
    <w:rPr>
      <w:rFonts w:ascii="Times New Roman" w:hAnsi="Times New Roman" w:eastAsia="Calibri" w:cs="Times New Roman"/>
      <w:b/>
      <w:sz w:val="20"/>
      <w:szCs w:val="24"/>
    </w:rPr>
  </w:style>
  <w:style w:type="paragraph" w:customStyle="1" w:styleId="50">
    <w:name w:val="Стиль А"/>
    <w:basedOn w:val="43"/>
    <w:link w:val="49"/>
    <w:qFormat/>
    <w:uiPriority w:val="0"/>
    <w:pPr>
      <w:spacing w:line="360" w:lineRule="auto"/>
    </w:pPr>
    <w:rPr>
      <w:rFonts w:ascii="Times New Roman" w:hAnsi="Times New Roman"/>
      <w:b/>
      <w:szCs w:val="24"/>
    </w:rPr>
  </w:style>
  <w:style w:type="character" w:customStyle="1" w:styleId="51">
    <w:name w:val="Заголовок 2 Знак"/>
    <w:link w:val="3"/>
    <w:qFormat/>
    <w:uiPriority w:val="0"/>
    <w:rPr>
      <w:rFonts w:ascii="Arial" w:hAnsi="Arial" w:eastAsia="Times New Roman" w:cs="Arial"/>
      <w:b/>
      <w:bCs/>
      <w:i/>
      <w:iCs/>
      <w:sz w:val="28"/>
      <w:szCs w:val="28"/>
      <w:lang w:eastAsia="ru-RU"/>
    </w:rPr>
  </w:style>
  <w:style w:type="character" w:customStyle="1" w:styleId="52">
    <w:name w:val="Текст выноски Знак"/>
    <w:link w:val="16"/>
    <w:semiHidden/>
    <w:qFormat/>
    <w:uiPriority w:val="99"/>
    <w:rPr>
      <w:rFonts w:ascii="Tahoma" w:hAnsi="Tahoma" w:cs="Tahoma"/>
      <w:sz w:val="16"/>
      <w:szCs w:val="16"/>
      <w:lang w:eastAsia="en-US"/>
    </w:rPr>
  </w:style>
  <w:style w:type="character" w:customStyle="1" w:styleId="53">
    <w:name w:val="Заголовок 1 Знак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character" w:customStyle="1" w:styleId="54">
    <w:name w:val="Знак2"/>
    <w:qFormat/>
    <w:uiPriority w:val="0"/>
    <w:rPr>
      <w:rFonts w:ascii="Arial" w:hAnsi="Arial"/>
      <w:sz w:val="24"/>
    </w:rPr>
  </w:style>
  <w:style w:type="character" w:customStyle="1" w:styleId="55">
    <w:name w:val="Схема документа Знак"/>
    <w:link w:val="21"/>
    <w:semiHidden/>
    <w:qFormat/>
    <w:uiPriority w:val="0"/>
    <w:rPr>
      <w:rFonts w:ascii="Tahoma" w:hAnsi="Tahoma" w:eastAsia="Times New Roman" w:cs="Tahoma"/>
      <w:sz w:val="20"/>
      <w:szCs w:val="20"/>
      <w:shd w:val="clear" w:color="auto" w:fill="000080"/>
      <w:lang w:eastAsia="ru-RU"/>
    </w:rPr>
  </w:style>
  <w:style w:type="character" w:customStyle="1" w:styleId="56">
    <w:name w:val="Body text Знак Знак Знак"/>
    <w:link w:val="57"/>
    <w:qFormat/>
    <w:uiPriority w:val="0"/>
    <w:rPr>
      <w:rFonts w:eastAsia="Times New Roman"/>
      <w:color w:val="000000"/>
      <w:sz w:val="24"/>
      <w:szCs w:val="24"/>
      <w:lang w:val="ru-RU" w:eastAsia="ru-RU" w:bidi="ar-SA"/>
    </w:rPr>
  </w:style>
  <w:style w:type="paragraph" w:customStyle="1" w:styleId="57">
    <w:name w:val="Body text Знак Знак"/>
    <w:link w:val="56"/>
    <w:qFormat/>
    <w:uiPriority w:val="0"/>
    <w:pPr>
      <w:ind w:firstLine="48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58">
    <w:name w:val="2 Знак"/>
    <w:link w:val="59"/>
    <w:qFormat/>
    <w:uiPriority w:val="0"/>
    <w:rPr>
      <w:rFonts w:ascii="Times New Roman" w:hAnsi="Times New Roman" w:eastAsia="Times New Roman" w:cs="Times New Roman"/>
      <w:b/>
      <w:i/>
      <w:color w:val="000000"/>
      <w:sz w:val="24"/>
      <w:szCs w:val="24"/>
      <w:lang w:eastAsia="ru-RU"/>
    </w:rPr>
  </w:style>
  <w:style w:type="paragraph" w:customStyle="1" w:styleId="59">
    <w:name w:val="2"/>
    <w:basedOn w:val="1"/>
    <w:link w:val="58"/>
    <w:qFormat/>
    <w:uiPriority w:val="0"/>
    <w:pPr>
      <w:jc w:val="right"/>
      <w:outlineLvl w:val="0"/>
    </w:pPr>
    <w:rPr>
      <w:rFonts w:ascii="Times New Roman" w:hAnsi="Times New Roman" w:eastAsia="Times New Roman"/>
      <w:b/>
      <w:i/>
      <w:color w:val="000000"/>
      <w:sz w:val="24"/>
      <w:lang w:val="zh-CN" w:eastAsia="ru-RU"/>
    </w:rPr>
  </w:style>
  <w:style w:type="character" w:customStyle="1" w:styleId="60">
    <w:name w:val="Текст сноски Знак"/>
    <w:link w:val="22"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customStyle="1" w:styleId="61">
    <w:name w:val="Обычный (Интернет)"/>
    <w:basedOn w:val="1"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lang w:eastAsia="ru-RU"/>
    </w:rPr>
  </w:style>
  <w:style w:type="paragraph" w:customStyle="1" w:styleId="62">
    <w:name w:val="ac"/>
    <w:basedOn w:val="1"/>
    <w:qFormat/>
    <w:uiPriority w:val="0"/>
    <w:pPr>
      <w:jc w:val="center"/>
    </w:pPr>
    <w:rPr>
      <w:rFonts w:ascii="Times New Roman" w:hAnsi="Times New Roman" w:eastAsia="Times New Roman"/>
      <w:sz w:val="24"/>
      <w:lang w:eastAsia="ru-RU"/>
    </w:rPr>
  </w:style>
  <w:style w:type="paragraph" w:customStyle="1" w:styleId="63">
    <w:name w:val="текст 1"/>
    <w:qFormat/>
    <w:uiPriority w:val="0"/>
    <w:pPr>
      <w:autoSpaceDE w:val="0"/>
      <w:autoSpaceDN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customStyle="1" w:styleId="64">
    <w:name w:val="Рис."/>
    <w:basedOn w:val="1"/>
    <w:qFormat/>
    <w:uiPriority w:val="0"/>
    <w:pPr>
      <w:spacing w:before="60" w:after="240"/>
      <w:jc w:val="center"/>
      <w:outlineLvl w:val="0"/>
    </w:pPr>
    <w:rPr>
      <w:rFonts w:ascii="Times New Roman" w:hAnsi="Times New Roman" w:eastAsia="Times New Roman"/>
      <w:bCs/>
      <w:kern w:val="28"/>
      <w:sz w:val="20"/>
      <w:szCs w:val="20"/>
      <w:lang w:eastAsia="ru-RU"/>
    </w:rPr>
  </w:style>
  <w:style w:type="paragraph" w:customStyle="1" w:styleId="65">
    <w:name w:val="текст1"/>
    <w:basedOn w:val="1"/>
    <w:qFormat/>
    <w:uiPriority w:val="0"/>
    <w:pPr>
      <w:spacing w:line="360" w:lineRule="auto"/>
      <w:ind w:firstLine="709"/>
    </w:pPr>
    <w:rPr>
      <w:rFonts w:ascii="Times New Roman" w:hAnsi="Times New Roman" w:eastAsia="Times New Roman"/>
      <w:sz w:val="24"/>
      <w:lang w:eastAsia="ru-RU"/>
    </w:rPr>
  </w:style>
  <w:style w:type="paragraph" w:customStyle="1" w:styleId="66">
    <w:name w:val="Текст1"/>
    <w:basedOn w:val="1"/>
    <w:qFormat/>
    <w:uiPriority w:val="0"/>
    <w:pPr>
      <w:widowControl w:val="0"/>
      <w:spacing w:line="360" w:lineRule="auto"/>
      <w:ind w:firstLine="720"/>
    </w:pPr>
    <w:rPr>
      <w:rFonts w:ascii="Courier New" w:hAnsi="Courier New" w:eastAsia="Times New Roman"/>
      <w:sz w:val="24"/>
      <w:szCs w:val="20"/>
      <w:lang w:eastAsia="ru-RU"/>
    </w:rPr>
  </w:style>
  <w:style w:type="paragraph" w:customStyle="1" w:styleId="67">
    <w:name w:val="Основной текст с отступом 31"/>
    <w:basedOn w:val="1"/>
    <w:qFormat/>
    <w:uiPriority w:val="0"/>
    <w:pPr>
      <w:widowControl w:val="0"/>
      <w:ind w:right="-668" w:firstLine="709"/>
    </w:pPr>
    <w:rPr>
      <w:rFonts w:ascii="Times New Roman" w:hAnsi="Times New Roman" w:eastAsia="Times New Roman"/>
      <w:sz w:val="20"/>
      <w:szCs w:val="20"/>
      <w:lang w:eastAsia="ru-RU"/>
    </w:rPr>
  </w:style>
  <w:style w:type="paragraph" w:customStyle="1" w:styleId="68">
    <w:name w:val="p"/>
    <w:basedOn w:val="1"/>
    <w:qFormat/>
    <w:uiPriority w:val="0"/>
    <w:pPr>
      <w:spacing w:before="48" w:after="48"/>
      <w:ind w:firstLine="480"/>
    </w:pPr>
    <w:rPr>
      <w:rFonts w:ascii="Times New Roman" w:hAnsi="Times New Roman" w:eastAsia="Times New Roman"/>
      <w:sz w:val="24"/>
      <w:lang w:eastAsia="ru-RU"/>
    </w:rPr>
  </w:style>
  <w:style w:type="paragraph" w:customStyle="1" w:styleId="69">
    <w:name w:val="bodytextindent3"/>
    <w:basedOn w:val="1"/>
    <w:qFormat/>
    <w:uiPriority w:val="0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lang w:eastAsia="ru-RU"/>
    </w:rPr>
  </w:style>
  <w:style w:type="paragraph" w:customStyle="1" w:styleId="70">
    <w:name w:val="Цитата1"/>
    <w:basedOn w:val="1"/>
    <w:qFormat/>
    <w:uiPriority w:val="0"/>
    <w:pPr>
      <w:widowControl w:val="0"/>
      <w:ind w:left="709" w:right="-668"/>
      <w:jc w:val="left"/>
    </w:pPr>
    <w:rPr>
      <w:rFonts w:ascii="Times New Roman" w:hAnsi="Times New Roman" w:eastAsia="Times New Roman"/>
      <w:sz w:val="28"/>
      <w:szCs w:val="20"/>
      <w:lang w:eastAsia="ru-RU"/>
    </w:rPr>
  </w:style>
  <w:style w:type="paragraph" w:customStyle="1" w:styleId="71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paragraph" w:customStyle="1" w:styleId="72">
    <w:name w:val="рисунок"/>
    <w:basedOn w:val="64"/>
    <w:qFormat/>
    <w:uiPriority w:val="0"/>
    <w:pPr>
      <w:spacing w:before="240" w:after="120"/>
    </w:pPr>
  </w:style>
  <w:style w:type="paragraph" w:customStyle="1" w:styleId="73">
    <w:name w:val="текст"/>
    <w:basedOn w:val="24"/>
    <w:qFormat/>
    <w:uiPriority w:val="0"/>
    <w:pPr>
      <w:widowControl/>
      <w:spacing w:after="0" w:line="360" w:lineRule="auto"/>
    </w:pPr>
    <w:rPr>
      <w:rFonts w:cs="Arial"/>
      <w:sz w:val="28"/>
      <w:szCs w:val="24"/>
    </w:rPr>
  </w:style>
  <w:style w:type="paragraph" w:customStyle="1" w:styleId="74">
    <w:name w:val="табл."/>
    <w:basedOn w:val="1"/>
    <w:qFormat/>
    <w:uiPriority w:val="0"/>
    <w:pPr>
      <w:spacing w:before="60" w:after="60"/>
      <w:jc w:val="left"/>
      <w:outlineLvl w:val="0"/>
    </w:pPr>
    <w:rPr>
      <w:rFonts w:ascii="Times New Roman" w:hAnsi="Times New Roman" w:eastAsia="Times New Roman"/>
      <w:bCs/>
      <w:kern w:val="28"/>
      <w:sz w:val="18"/>
      <w:szCs w:val="20"/>
      <w:lang w:eastAsia="ru-RU"/>
    </w:rPr>
  </w:style>
  <w:style w:type="paragraph" w:customStyle="1" w:styleId="75">
    <w:name w:val="список"/>
    <w:basedOn w:val="1"/>
    <w:qFormat/>
    <w:uiPriority w:val="0"/>
    <w:pPr>
      <w:tabs>
        <w:tab w:val="left" w:pos="360"/>
      </w:tabs>
      <w:overflowPunct w:val="0"/>
      <w:autoSpaceDE w:val="0"/>
      <w:autoSpaceDN w:val="0"/>
      <w:adjustRightInd w:val="0"/>
      <w:spacing w:after="80"/>
      <w:ind w:left="283" w:hanging="283"/>
      <w:textAlignment w:val="baseline"/>
    </w:pPr>
    <w:rPr>
      <w:rFonts w:ascii="Times New Roman" w:hAnsi="Times New Roman" w:eastAsia="Times New Roman"/>
      <w:sz w:val="20"/>
      <w:szCs w:val="20"/>
      <w:lang w:eastAsia="ru-RU"/>
    </w:rPr>
  </w:style>
  <w:style w:type="paragraph" w:customStyle="1" w:styleId="76">
    <w:name w:val="Основной текст с отступом 21"/>
    <w:basedOn w:val="1"/>
    <w:qFormat/>
    <w:uiPriority w:val="0"/>
    <w:pPr>
      <w:widowControl w:val="0"/>
      <w:spacing w:line="480" w:lineRule="auto"/>
      <w:ind w:right="-1" w:firstLine="720"/>
      <w:jc w:val="left"/>
    </w:pPr>
    <w:rPr>
      <w:rFonts w:ascii="Times New Roman" w:hAnsi="Times New Roman" w:eastAsia="Times New Roman"/>
      <w:sz w:val="28"/>
      <w:szCs w:val="20"/>
      <w:lang w:eastAsia="ru-RU"/>
    </w:rPr>
  </w:style>
  <w:style w:type="paragraph" w:customStyle="1" w:styleId="77">
    <w:name w:val="табл1"/>
    <w:basedOn w:val="1"/>
    <w:qFormat/>
    <w:uiPriority w:val="0"/>
    <w:pPr>
      <w:keepNext/>
      <w:spacing w:before="120" w:after="120"/>
      <w:jc w:val="center"/>
    </w:pPr>
    <w:rPr>
      <w:rFonts w:ascii="Times New Roman" w:hAnsi="Times New Roman" w:eastAsia="Times New Roman"/>
      <w:sz w:val="18"/>
      <w:szCs w:val="20"/>
      <w:lang w:eastAsia="ru-RU"/>
    </w:rPr>
  </w:style>
  <w:style w:type="paragraph" w:customStyle="1" w:styleId="78">
    <w:name w:val="stt"/>
    <w:basedOn w:val="1"/>
    <w:qFormat/>
    <w:uiPriority w:val="0"/>
    <w:pP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sz w:val="24"/>
      <w:lang w:eastAsia="ru-RU"/>
    </w:rPr>
  </w:style>
  <w:style w:type="paragraph" w:customStyle="1" w:styleId="79">
    <w:name w:val="Прил"/>
    <w:basedOn w:val="1"/>
    <w:qFormat/>
    <w:uiPriority w:val="0"/>
    <w:pPr>
      <w:pageBreakBefore/>
      <w:ind w:firstLine="397"/>
      <w:jc w:val="right"/>
    </w:pPr>
    <w:rPr>
      <w:rFonts w:ascii="Times New Roman" w:hAnsi="Times New Roman" w:eastAsia="MS Mincho"/>
      <w:sz w:val="20"/>
      <w:szCs w:val="20"/>
      <w:lang w:eastAsia="ru-RU"/>
    </w:rPr>
  </w:style>
  <w:style w:type="paragraph" w:customStyle="1" w:styleId="80">
    <w:name w:val="Заголовок 41"/>
    <w:basedOn w:val="1"/>
    <w:next w:val="1"/>
    <w:qFormat/>
    <w:uiPriority w:val="0"/>
    <w:pPr>
      <w:keepNext/>
      <w:spacing w:line="340" w:lineRule="exact"/>
      <w:outlineLvl w:val="3"/>
    </w:pPr>
    <w:rPr>
      <w:rFonts w:ascii="Times New Roman" w:hAnsi="Times New Roman" w:eastAsia="Times New Roman"/>
      <w:sz w:val="26"/>
      <w:szCs w:val="20"/>
      <w:lang w:eastAsia="ru-RU"/>
    </w:rPr>
  </w:style>
  <w:style w:type="paragraph" w:customStyle="1" w:styleId="81">
    <w:name w:val="Заголовок 0"/>
    <w:basedOn w:val="1"/>
    <w:next w:val="2"/>
    <w:qFormat/>
    <w:uiPriority w:val="0"/>
    <w:pPr>
      <w:spacing w:line="360" w:lineRule="auto"/>
      <w:jc w:val="center"/>
    </w:pPr>
    <w:rPr>
      <w:rFonts w:ascii="Times New Roman" w:hAnsi="Times New Roman" w:eastAsia="Times New Roman"/>
      <w:b/>
      <w:caps/>
      <w:sz w:val="24"/>
      <w:szCs w:val="28"/>
      <w:lang w:eastAsia="ru-RU"/>
    </w:rPr>
  </w:style>
  <w:style w:type="character" w:customStyle="1" w:styleId="82">
    <w:name w:val="wef_low_priority_links"/>
    <w:basedOn w:val="6"/>
    <w:qFormat/>
    <w:uiPriority w:val="0"/>
  </w:style>
  <w:style w:type="character" w:customStyle="1" w:styleId="83">
    <w:name w:val="Неразрешенное упоминание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4">
    <w:name w:val="ListNum"/>
    <w:basedOn w:val="1"/>
    <w:qFormat/>
    <w:uiPriority w:val="0"/>
    <w:pPr>
      <w:numPr>
        <w:ilvl w:val="0"/>
        <w:numId w:val="2"/>
      </w:numPr>
      <w:spacing w:after="120"/>
    </w:pPr>
    <w:rPr>
      <w:rFonts w:ascii="Times New Roman" w:hAnsi="Times New Roman" w:eastAsia="Times New Roman"/>
      <w:sz w:val="20"/>
      <w:szCs w:val="20"/>
      <w:lang w:eastAsia="ru-RU"/>
    </w:rPr>
  </w:style>
  <w:style w:type="character" w:customStyle="1" w:styleId="85">
    <w:name w:val="Стандартный HTML Знак"/>
    <w:link w:val="33"/>
    <w:qFormat/>
    <w:uiPriority w:val="99"/>
    <w:rPr>
      <w:rFonts w:ascii="Courier New" w:hAnsi="Courier New" w:eastAsia="Times New Roman" w:cs="Courier New"/>
    </w:rPr>
  </w:style>
  <w:style w:type="paragraph" w:customStyle="1" w:styleId="86">
    <w:name w:val="Заголовок оглавления1"/>
    <w:basedOn w:val="2"/>
    <w:next w:val="1"/>
    <w:unhideWhenUsed/>
    <w:qFormat/>
    <w:uiPriority w:val="39"/>
    <w:pPr>
      <w:keepLines/>
      <w:widowControl/>
      <w:spacing w:after="0" w:line="259" w:lineRule="auto"/>
      <w:ind w:firstLine="0"/>
      <w:jc w:val="left"/>
      <w:outlineLvl w:val="9"/>
    </w:pPr>
    <w:rPr>
      <w:rFonts w:ascii="Calibri Light" w:hAnsi="Calibri Light"/>
      <w:b w:val="0"/>
      <w:bCs w:val="0"/>
      <w:color w:val="2F5496"/>
      <w:kern w:val="0"/>
      <w:lang w:val="ru-RU"/>
    </w:rPr>
  </w:style>
  <w:style w:type="paragraph" w:customStyle="1" w:styleId="87">
    <w:name w:val="Standard"/>
    <w:qFormat/>
    <w:uiPriority w:val="0"/>
    <w:pPr>
      <w:suppressAutoHyphens/>
      <w:autoSpaceDN w:val="0"/>
      <w:spacing w:line="360" w:lineRule="auto"/>
      <w:textAlignment w:val="baseline"/>
    </w:pPr>
    <w:rPr>
      <w:rFonts w:ascii="Times New Roman" w:hAnsi="Times New Roman" w:eastAsia="Times New Roman" w:cs="Times New Roman"/>
      <w:kern w:val="3"/>
      <w:sz w:val="24"/>
      <w:szCs w:val="24"/>
      <w:lang w:val="ru-RU" w:eastAsia="zh-CN" w:bidi="hi-IN"/>
    </w:rPr>
  </w:style>
  <w:style w:type="paragraph" w:customStyle="1" w:styleId="88">
    <w:name w:val="Text body"/>
    <w:basedOn w:val="1"/>
    <w:qFormat/>
    <w:uiPriority w:val="0"/>
    <w:pPr>
      <w:suppressAutoHyphens/>
      <w:autoSpaceDN w:val="0"/>
      <w:spacing w:line="360" w:lineRule="auto"/>
      <w:ind w:firstLine="709"/>
      <w:textAlignment w:val="baseline"/>
    </w:pPr>
    <w:rPr>
      <w:rFonts w:ascii="Times New Roman" w:hAnsi="Times New Roman" w:eastAsia="Times New Roman"/>
      <w:kern w:val="3"/>
      <w:sz w:val="24"/>
      <w:lang w:eastAsia="zh-CN" w:bidi="hi-IN"/>
    </w:rPr>
  </w:style>
  <w:style w:type="paragraph" w:customStyle="1" w:styleId="89">
    <w:name w:val="Table Contents"/>
    <w:basedOn w:val="1"/>
    <w:qFormat/>
    <w:uiPriority w:val="0"/>
    <w:pPr>
      <w:widowControl w:val="0"/>
      <w:suppressLineNumbers/>
      <w:suppressAutoHyphens/>
      <w:autoSpaceDN w:val="0"/>
      <w:spacing w:line="360" w:lineRule="auto"/>
      <w:jc w:val="left"/>
      <w:textAlignment w:val="baseline"/>
    </w:pPr>
    <w:rPr>
      <w:rFonts w:ascii="Times New Roman" w:hAnsi="Times New Roman" w:eastAsia="Times New Roman"/>
      <w:kern w:val="3"/>
      <w:sz w:val="24"/>
      <w:lang w:eastAsia="zh-CN" w:bidi="hi-IN"/>
    </w:rPr>
  </w:style>
  <w:style w:type="paragraph" w:customStyle="1" w:styleId="90">
    <w:name w:val="Table Heading"/>
    <w:basedOn w:val="89"/>
    <w:qFormat/>
    <w:uiPriority w:val="0"/>
    <w:pPr>
      <w:jc w:val="center"/>
    </w:pPr>
    <w:rPr>
      <w:b/>
      <w:bCs/>
    </w:rPr>
  </w:style>
  <w:style w:type="paragraph" w:customStyle="1" w:styleId="91">
    <w:name w:val="Содержимое таблицы по центру"/>
    <w:basedOn w:val="89"/>
    <w:qFormat/>
    <w:uiPriority w:val="0"/>
    <w:pPr>
      <w:jc w:val="center"/>
    </w:pPr>
  </w:style>
  <w:style w:type="paragraph" w:customStyle="1" w:styleId="92">
    <w:name w:val="Подпись таблицы"/>
    <w:basedOn w:val="1"/>
    <w:qFormat/>
    <w:uiPriority w:val="0"/>
    <w:pPr>
      <w:suppressAutoHyphens/>
      <w:autoSpaceDN w:val="0"/>
      <w:spacing w:before="119" w:after="119" w:line="360" w:lineRule="auto"/>
      <w:textAlignment w:val="baseline"/>
    </w:pPr>
    <w:rPr>
      <w:rFonts w:ascii="Times New Roman" w:hAnsi="Times New Roman" w:eastAsia="Times New Roman"/>
      <w:b/>
      <w:kern w:val="3"/>
      <w:sz w:val="24"/>
      <w:lang w:eastAsia="zh-CN" w:bidi="hi-IN"/>
    </w:rPr>
  </w:style>
  <w:style w:type="paragraph" w:customStyle="1" w:styleId="93">
    <w:name w:val="List Indent"/>
    <w:basedOn w:val="88"/>
    <w:qFormat/>
    <w:uiPriority w:val="0"/>
    <w:pPr>
      <w:tabs>
        <w:tab w:val="left" w:pos="0"/>
      </w:tabs>
      <w:spacing w:line="240" w:lineRule="auto"/>
      <w:ind w:firstLine="0"/>
    </w:pPr>
  </w:style>
  <w:style w:type="paragraph" w:customStyle="1" w:styleId="94">
    <w:name w:val="Appendix"/>
    <w:basedOn w:val="1"/>
    <w:next w:val="88"/>
    <w:qFormat/>
    <w:uiPriority w:val="0"/>
    <w:pPr>
      <w:keepNext/>
      <w:suppressAutoHyphens/>
      <w:autoSpaceDN w:val="0"/>
      <w:spacing w:after="357" w:line="360" w:lineRule="auto"/>
      <w:jc w:val="right"/>
      <w:textAlignment w:val="baseline"/>
      <w:outlineLvl w:val="0"/>
    </w:pPr>
    <w:rPr>
      <w:rFonts w:ascii="Times New Roman" w:hAnsi="Times New Roman" w:eastAsia="Microsoft YaHei" w:cs="Mangal"/>
      <w:b/>
      <w:bCs/>
      <w:caps/>
      <w:kern w:val="3"/>
      <w:sz w:val="24"/>
      <w:szCs w:val="32"/>
      <w:lang w:eastAsia="zh-CN" w:bidi="hi-IN"/>
    </w:rPr>
  </w:style>
  <w:style w:type="paragraph" w:customStyle="1" w:styleId="95">
    <w:name w:val="Horizontal Line"/>
    <w:basedOn w:val="1"/>
    <w:next w:val="88"/>
    <w:qFormat/>
    <w:uiPriority w:val="0"/>
    <w:pPr>
      <w:suppressLineNumbers/>
      <w:suppressAutoHyphens/>
      <w:autoSpaceDN w:val="0"/>
      <w:jc w:val="left"/>
      <w:textAlignment w:val="baseline"/>
    </w:pPr>
    <w:rPr>
      <w:rFonts w:ascii="Times New Roman" w:hAnsi="Times New Roman" w:eastAsia="Times New Roman"/>
      <w:kern w:val="3"/>
      <w:sz w:val="12"/>
      <w:szCs w:val="12"/>
      <w:lang w:eastAsia="zh-CN" w:bidi="hi-IN"/>
    </w:rPr>
  </w:style>
  <w:style w:type="paragraph" w:customStyle="1" w:styleId="96">
    <w:name w:val="Подпись строки в начале листа"/>
    <w:basedOn w:val="92"/>
    <w:qFormat/>
    <w:uiPriority w:val="0"/>
    <w:pPr>
      <w:spacing w:before="0"/>
    </w:pPr>
  </w:style>
  <w:style w:type="paragraph" w:customStyle="1" w:styleId="97">
    <w:name w:val="Символ рисунка"/>
    <w:basedOn w:val="88"/>
    <w:next w:val="98"/>
    <w:qFormat/>
    <w:uiPriority w:val="0"/>
    <w:pPr>
      <w:spacing w:before="119" w:after="119" w:line="240" w:lineRule="auto"/>
      <w:ind w:firstLine="0"/>
      <w:jc w:val="center"/>
    </w:pPr>
  </w:style>
  <w:style w:type="paragraph" w:customStyle="1" w:styleId="98">
    <w:name w:val="Подпись рисунка"/>
    <w:basedOn w:val="97"/>
    <w:next w:val="88"/>
    <w:qFormat/>
    <w:uiPriority w:val="0"/>
    <w:pPr>
      <w:spacing w:before="0"/>
    </w:pPr>
    <w:rPr>
      <w:b/>
    </w:rPr>
  </w:style>
  <w:style w:type="paragraph" w:customStyle="1" w:styleId="99">
    <w:name w:val="Contents Heading"/>
    <w:basedOn w:val="25"/>
    <w:qFormat/>
    <w:uiPriority w:val="0"/>
    <w:pPr>
      <w:keepNext/>
      <w:suppressLineNumbers/>
      <w:suppressAutoHyphens/>
      <w:autoSpaceDN w:val="0"/>
      <w:spacing w:after="119" w:line="360" w:lineRule="auto"/>
      <w:jc w:val="center"/>
      <w:textAlignment w:val="baseline"/>
      <w:outlineLvl w:val="0"/>
    </w:pPr>
    <w:rPr>
      <w:rFonts w:ascii="Times New Roman" w:hAnsi="Times New Roman"/>
      <w:caps/>
      <w:kern w:val="3"/>
      <w:sz w:val="32"/>
      <w:szCs w:val="32"/>
      <w:lang w:eastAsia="zh-CN" w:bidi="hi-IN"/>
    </w:rPr>
  </w:style>
  <w:style w:type="character" w:customStyle="1" w:styleId="100">
    <w:name w:val="Текст концевой сноски Знак"/>
    <w:basedOn w:val="6"/>
    <w:link w:val="18"/>
    <w:semiHidden/>
    <w:qFormat/>
    <w:uiPriority w:val="99"/>
    <w:rPr>
      <w:rFonts w:ascii="Verdana" w:hAnsi="Verdana"/>
      <w:lang w:eastAsia="en-US"/>
    </w:rPr>
  </w:style>
  <w:style w:type="character" w:customStyle="1" w:styleId="101">
    <w:name w:val="10"/>
    <w:qFormat/>
    <w:uiPriority w:val="0"/>
    <w:rPr>
      <w:rFonts w:hint="default" w:ascii="Times New Roman" w:hAnsi="Times New Roman" w:cs="Times New Roman"/>
    </w:rPr>
  </w:style>
  <w:style w:type="character" w:customStyle="1" w:styleId="102">
    <w:name w:val="15"/>
    <w:qFormat/>
    <w:uiPriority w:val="0"/>
    <w:rPr>
      <w:rFonts w:hint="default" w:ascii="Times New Roman" w:hAnsi="Times New Roman" w:cs="Times New Roman"/>
    </w:rPr>
  </w:style>
  <w:style w:type="paragraph" w:customStyle="1" w:styleId="103">
    <w:name w:val="TOC Heading"/>
    <w:basedOn w:val="2"/>
    <w:next w:val="1"/>
    <w:unhideWhenUsed/>
    <w:qFormat/>
    <w:uiPriority w:val="39"/>
    <w:pPr>
      <w:keepLines/>
      <w:widowControl/>
      <w:spacing w:after="0" w:line="259" w:lineRule="auto"/>
      <w:ind w:firstLine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lang w:val="ru-RU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20DA7-60F8-4E32-BFC5-162C1FE5EB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python-docx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2026-09-27T18:44:26Z</dcterms:created>
  <dc:creator>Шатуев Руслан Саматович</dc:creator>
  <cp:lastModifiedBy>Шатуев Руслан Саматович</cp:lastModifiedBy>
  <dcterms:modified xsi:type="dcterms:W3CDTF">2026-09-27T18:44:26Z</dcterms:modified>
  <dc:title>Моделирование и симуляция робота-манипулятора, выполняющего задачу сортировки объектов по цвету</dc:title>
  <cp:revision>1</cp:revision>
  <dc:subject>Курсовая работа по моделированию и симуляции робота-манипулятора</dc:subject>
  <cp:keywords>SCARA, сортировка по цвету, симуляция, MuJoCo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419C30E29BA74E30A6F46953BF710D48_12</vt:lpwstr>
  </property>
</Properties>
</file>