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Traceable Generation of Technical Design Documents from Functional Specifications Using Orchestrated LLM Tools</w:t>
      </w:r>
    </w:p>
    <w:tbl>
      <w:tblPr>
        <w:tblW w:type="dxa" w:w="10284"/>
        <w:tblBorders>
          <w:top w:val="none" w:color="FFFFFF" w:sz="0"/>
          <w:left w:val="none" w:color="FFFFFF" w:sz="0"/>
          <w:bottom w:val="none" w:color="FFFFFF" w:sz="0"/>
          <w:right w:val="none" w:color="FFFFFF" w:sz="0"/>
          <w:insideH w:val="none" w:color="FFFFFF" w:sz="0"/>
          <w:insideV w:val="none" w:color="FFFFFF" w:sz="0"/>
        </w:tblBorders>
      </w:tblPr>
      <w:tblGrid>
        <w:gridCol w:w="2571"/>
        <w:gridCol w:w="2571"/>
        <w:gridCol w:w="2571"/>
        <w:gridCol w:w="2571"/>
      </w:tblGrid>
      <w:tr>
        <w:tc>
          <w:tcPr>
            <w:tcW w:type="dxa" w:w="2571"/>
            <w:tcBorders>
              <w:top w:val="none" w:color="FFFFFF" w:sz="0"/>
              <w:left w:val="none" w:color="FFFFFF" w:sz="0"/>
              <w:bottom w:val="none" w:color="FFFFFF" w:sz="0"/>
              <w:right w:val="none" w:color="FFFFFF" w:sz="0"/>
            </w:tcBorders>
            <w:tcMar>
              <w:left w:type="dxa" w:w="120"/>
              <w:right w:type="dxa" w:w="120"/>
            </w:tcMar>
          </w:tcPr>
          <w:p>
            <w:pPr>
              <w:jc w:val="center"/>
            </w:pPr>
            <w:r>
              <w:rPr>
                <w:rFonts w:ascii="Times New Roman" w:cs="Times New Roman" w:eastAsia="Times New Roman" w:hAnsi="Times New Roman"/>
                <w:i w:val="false"/>
                <w:iCs w:val="false"/>
                <w:sz w:val="22"/>
                <w:szCs w:val="22"/>
              </w:rPr>
              <w:t xml:space="preserve">Garv Bhalla</w:t>
            </w:r>
          </w:p>
          <w:p>
            <w:pPr>
              <w:jc w:val="center"/>
            </w:pPr>
            <w:r>
              <w:rPr>
                <w:rFonts w:ascii="Times New Roman" w:cs="Times New Roman" w:eastAsia="Times New Roman" w:hAnsi="Times New Roman"/>
                <w:i/>
                <w:iCs/>
                <w:sz w:val="20"/>
                <w:szCs w:val="20"/>
              </w:rPr>
              <w:t xml:space="preserve">dept. of Computer Science and Engineering</w:t>
            </w:r>
          </w:p>
          <w:p>
            <w:pPr>
              <w:jc w:val="center"/>
            </w:pPr>
            <w:r>
              <w:rPr>
                <w:rFonts w:ascii="Times New Roman" w:cs="Times New Roman" w:eastAsia="Times New Roman" w:hAnsi="Times New Roman"/>
                <w:i/>
                <w:iCs/>
                <w:sz w:val="20"/>
                <w:szCs w:val="20"/>
              </w:rPr>
              <w:t xml:space="preserve">[College Name]</w:t>
            </w:r>
          </w:p>
          <w:p>
            <w:pPr>
              <w:jc w:val="center"/>
            </w:pPr>
            <w:r>
              <w:rPr>
                <w:rFonts w:ascii="Times New Roman" w:cs="Times New Roman" w:eastAsia="Times New Roman" w:hAnsi="Times New Roman"/>
                <w:i w:val="false"/>
                <w:iCs w:val="false"/>
                <w:sz w:val="20"/>
                <w:szCs w:val="20"/>
              </w:rPr>
              <w:t xml:space="preserve">[City], India</w:t>
            </w:r>
          </w:p>
          <w:p>
            <w:pPr>
              <w:jc w:val="center"/>
            </w:pPr>
            <w:r>
              <w:rPr>
                <w:rFonts w:ascii="Times New Roman" w:cs="Times New Roman" w:eastAsia="Times New Roman" w:hAnsi="Times New Roman"/>
                <w:i w:val="false"/>
                <w:iCs w:val="false"/>
                <w:sz w:val="20"/>
                <w:szCs w:val="20"/>
              </w:rPr>
              <w:t xml:space="preserve">garv.b2005@gmail.com</w:t>
            </w:r>
          </w:p>
        </w:tc>
        <w:tc>
          <w:tcPr>
            <w:tcW w:type="dxa" w:w="2571"/>
            <w:tcBorders>
              <w:top w:val="none" w:color="FFFFFF" w:sz="0"/>
              <w:left w:val="none" w:color="FFFFFF" w:sz="0"/>
              <w:bottom w:val="none" w:color="FFFFFF" w:sz="0"/>
              <w:right w:val="none" w:color="FFFFFF" w:sz="0"/>
            </w:tcBorders>
            <w:tcMar>
              <w:left w:type="dxa" w:w="120"/>
              <w:right w:type="dxa" w:w="120"/>
            </w:tcMar>
          </w:tcPr>
          <w:p>
            <w:pPr>
              <w:jc w:val="center"/>
            </w:pPr>
            <w:r>
              <w:rPr>
                <w:rFonts w:ascii="Times New Roman" w:cs="Times New Roman" w:eastAsia="Times New Roman" w:hAnsi="Times New Roman"/>
                <w:i w:val="false"/>
                <w:iCs w:val="false"/>
                <w:sz w:val="22"/>
                <w:szCs w:val="22"/>
              </w:rPr>
              <w:t xml:space="preserve">Dhruv Gangurde</w:t>
            </w:r>
          </w:p>
          <w:p>
            <w:pPr>
              <w:jc w:val="center"/>
            </w:pPr>
            <w:r>
              <w:rPr>
                <w:rFonts w:ascii="Times New Roman" w:cs="Times New Roman" w:eastAsia="Times New Roman" w:hAnsi="Times New Roman"/>
                <w:i/>
                <w:iCs/>
                <w:sz w:val="20"/>
                <w:szCs w:val="20"/>
              </w:rPr>
              <w:t xml:space="preserve">dept. of Computer Science and Engineering</w:t>
            </w:r>
          </w:p>
          <w:p>
            <w:pPr>
              <w:jc w:val="center"/>
            </w:pPr>
            <w:r>
              <w:rPr>
                <w:rFonts w:ascii="Times New Roman" w:cs="Times New Roman" w:eastAsia="Times New Roman" w:hAnsi="Times New Roman"/>
                <w:i/>
                <w:iCs/>
                <w:sz w:val="20"/>
                <w:szCs w:val="20"/>
              </w:rPr>
              <w:t xml:space="preserve">[College Name]</w:t>
            </w:r>
          </w:p>
          <w:p>
            <w:pPr>
              <w:jc w:val="center"/>
            </w:pPr>
            <w:r>
              <w:rPr>
                <w:rFonts w:ascii="Times New Roman" w:cs="Times New Roman" w:eastAsia="Times New Roman" w:hAnsi="Times New Roman"/>
                <w:i w:val="false"/>
                <w:iCs w:val="false"/>
                <w:sz w:val="20"/>
                <w:szCs w:val="20"/>
              </w:rPr>
              <w:t xml:space="preserve">[City], India</w:t>
            </w:r>
          </w:p>
          <w:p>
            <w:pPr>
              <w:jc w:val="center"/>
            </w:pPr>
            <w:r>
              <w:rPr>
                <w:rFonts w:ascii="Times New Roman" w:cs="Times New Roman" w:eastAsia="Times New Roman" w:hAnsi="Times New Roman"/>
                <w:i w:val="false"/>
                <w:iCs w:val="false"/>
                <w:sz w:val="20"/>
                <w:szCs w:val="20"/>
              </w:rPr>
              <w:t xml:space="preserve">[email address]</w:t>
            </w:r>
          </w:p>
        </w:tc>
        <w:tc>
          <w:tcPr>
            <w:tcW w:type="dxa" w:w="2571"/>
            <w:tcBorders>
              <w:top w:val="none" w:color="FFFFFF" w:sz="0"/>
              <w:left w:val="none" w:color="FFFFFF" w:sz="0"/>
              <w:bottom w:val="none" w:color="FFFFFF" w:sz="0"/>
              <w:right w:val="none" w:color="FFFFFF" w:sz="0"/>
            </w:tcBorders>
            <w:tcMar>
              <w:left w:type="dxa" w:w="120"/>
              <w:right w:type="dxa" w:w="120"/>
            </w:tcMar>
          </w:tcPr>
          <w:p>
            <w:pPr>
              <w:jc w:val="center"/>
            </w:pPr>
            <w:r>
              <w:rPr>
                <w:rFonts w:ascii="Times New Roman" w:cs="Times New Roman" w:eastAsia="Times New Roman" w:hAnsi="Times New Roman"/>
                <w:i w:val="false"/>
                <w:iCs w:val="false"/>
                <w:sz w:val="22"/>
                <w:szCs w:val="22"/>
              </w:rPr>
              <w:t xml:space="preserve">Aman Srivastava</w:t>
            </w:r>
          </w:p>
          <w:p>
            <w:pPr>
              <w:jc w:val="center"/>
            </w:pPr>
            <w:r>
              <w:rPr>
                <w:rFonts w:ascii="Times New Roman" w:cs="Times New Roman" w:eastAsia="Times New Roman" w:hAnsi="Times New Roman"/>
                <w:i/>
                <w:iCs/>
                <w:sz w:val="20"/>
                <w:szCs w:val="20"/>
              </w:rPr>
              <w:t xml:space="preserve">dept. of Computer Science and Engineering</w:t>
            </w:r>
          </w:p>
          <w:p>
            <w:pPr>
              <w:jc w:val="center"/>
            </w:pPr>
            <w:r>
              <w:rPr>
                <w:rFonts w:ascii="Times New Roman" w:cs="Times New Roman" w:eastAsia="Times New Roman" w:hAnsi="Times New Roman"/>
                <w:i/>
                <w:iCs/>
                <w:sz w:val="20"/>
                <w:szCs w:val="20"/>
              </w:rPr>
              <w:t xml:space="preserve">[College Name]</w:t>
            </w:r>
          </w:p>
          <w:p>
            <w:pPr>
              <w:jc w:val="center"/>
            </w:pPr>
            <w:r>
              <w:rPr>
                <w:rFonts w:ascii="Times New Roman" w:cs="Times New Roman" w:eastAsia="Times New Roman" w:hAnsi="Times New Roman"/>
                <w:i w:val="false"/>
                <w:iCs w:val="false"/>
                <w:sz w:val="20"/>
                <w:szCs w:val="20"/>
              </w:rPr>
              <w:t xml:space="preserve">[City], India</w:t>
            </w:r>
          </w:p>
          <w:p>
            <w:pPr>
              <w:jc w:val="center"/>
            </w:pPr>
            <w:r>
              <w:rPr>
                <w:rFonts w:ascii="Times New Roman" w:cs="Times New Roman" w:eastAsia="Times New Roman" w:hAnsi="Times New Roman"/>
                <w:i w:val="false"/>
                <w:iCs w:val="false"/>
                <w:sz w:val="20"/>
                <w:szCs w:val="20"/>
              </w:rPr>
              <w:t xml:space="preserve">[email address]</w:t>
            </w:r>
          </w:p>
        </w:tc>
        <w:tc>
          <w:tcPr>
            <w:tcW w:type="dxa" w:w="2571"/>
            <w:tcBorders>
              <w:top w:val="none" w:color="FFFFFF" w:sz="0"/>
              <w:left w:val="none" w:color="FFFFFF" w:sz="0"/>
              <w:bottom w:val="none" w:color="FFFFFF" w:sz="0"/>
              <w:right w:val="none" w:color="FFFFFF" w:sz="0"/>
            </w:tcBorders>
            <w:tcMar>
              <w:left w:type="dxa" w:w="120"/>
              <w:right w:type="dxa" w:w="120"/>
            </w:tcMar>
          </w:tcPr>
          <w:p>
            <w:pPr>
              <w:jc w:val="center"/>
            </w:pPr>
            <w:r>
              <w:rPr>
                <w:rFonts w:ascii="Times New Roman" w:cs="Times New Roman" w:eastAsia="Times New Roman" w:hAnsi="Times New Roman"/>
                <w:i w:val="false"/>
                <w:iCs w:val="false"/>
                <w:sz w:val="22"/>
                <w:szCs w:val="22"/>
              </w:rPr>
              <w:t xml:space="preserve">[Guide Name]</w:t>
            </w:r>
          </w:p>
          <w:p>
            <w:pPr>
              <w:jc w:val="center"/>
            </w:pPr>
            <w:r>
              <w:rPr>
                <w:rFonts w:ascii="Times New Roman" w:cs="Times New Roman" w:eastAsia="Times New Roman" w:hAnsi="Times New Roman"/>
                <w:i/>
                <w:iCs/>
                <w:sz w:val="20"/>
                <w:szCs w:val="20"/>
              </w:rPr>
              <w:t xml:space="preserve">dept. of Computer Science and Engineering</w:t>
            </w:r>
          </w:p>
          <w:p>
            <w:pPr>
              <w:jc w:val="center"/>
            </w:pPr>
            <w:r>
              <w:rPr>
                <w:rFonts w:ascii="Times New Roman" w:cs="Times New Roman" w:eastAsia="Times New Roman" w:hAnsi="Times New Roman"/>
                <w:i/>
                <w:iCs/>
                <w:sz w:val="20"/>
                <w:szCs w:val="20"/>
              </w:rPr>
              <w:t xml:space="preserve">[College Name]</w:t>
            </w:r>
          </w:p>
          <w:p>
            <w:pPr>
              <w:jc w:val="center"/>
            </w:pPr>
            <w:r>
              <w:rPr>
                <w:rFonts w:ascii="Times New Roman" w:cs="Times New Roman" w:eastAsia="Times New Roman" w:hAnsi="Times New Roman"/>
                <w:i w:val="false"/>
                <w:iCs w:val="false"/>
                <w:sz w:val="20"/>
                <w:szCs w:val="20"/>
              </w:rPr>
              <w:t xml:space="preserve">[City], India</w:t>
            </w:r>
          </w:p>
          <w:p>
            <w:pPr>
              <w:jc w:val="center"/>
            </w:pPr>
            <w:r>
              <w:rPr>
                <w:rFonts w:ascii="Times New Roman" w:cs="Times New Roman" w:eastAsia="Times New Roman" w:hAnsi="Times New Roman"/>
                <w:i w:val="false"/>
                <w:iCs w:val="false"/>
                <w:sz w:val="20"/>
                <w:szCs w:val="20"/>
              </w:rPr>
              <w:t xml:space="preserve">[email address]</w:t>
            </w:r>
          </w:p>
        </w:tc>
      </w:tr>
    </w:tbl>
    <w:p>
      <w:pPr>
        <w:spacing w:after="240"/>
      </w:pPr>
    </w:p>
    <w:p>
      <w:pPr>
        <w:sectPr>
          <w:pgSz w:w="11906" w:h="16838" w:orient="portrait"/>
          <w:pgMar w:top="1077" w:right="811" w:bottom="2438" w:left="811" w:header="708" w:footer="708" w:gutter="0"/>
          <w:pgNumType/>
          <w:docGrid w:linePitch="360"/>
        </w:sectPr>
      </w:pPr>
    </w:p>
    <w:p>
      <w:pPr>
        <w:spacing w:after="160"/>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—Converting a Functional Design Document (FDD) into a Technical Design Document (TDD) is a recurring, expertise-heavy step in software projects, and the result is seldom checked for completeness against the requirements it is supposed to realize. This paper describes a system that automates the conversion and, in the same pass, produces a matrix linking each requirement to the design artifacts that address it. FDDs supplied as PDF, DOCX, Markdown or plain text are parsed and mined for requirements, actors, workflows, business rules and data entities. An orchestrator then splits TDD generation into five narrowly scoped large language model (LLM) calls covering the data model, interaction sequences, API contracts, system and component architecture, and non-functional and deployment concerns; each call receives only the document passages most relevant to its task, selected by in-memory embedding retrieval. Traceability links are recovered by cosine similarity between sentence embeddings of requirements and generated artifacts, using a threshold chosen from measured similarity distributions. The system runs on a free inference tier limited to 8,000 tokens per minute, and we describe the engineering this required: sequential tool scheduling, per-tool fault isolation, and suppression of hidden reasoning tokens, which cut reasoning overhead on a representative prompt from 691 to 31 tokens. Across 22 logged generation runs, 19 completed through the orchestrated path, with a tool-level success rate of 89.5%. On a calibration document, the selected threshold retained 22 of 24 model-asserted requirement–endpoint links while admitting 5 of 40 randomly paired ones.</w:t>
      </w:r>
    </w:p>
    <w:p>
      <w:pPr>
        <w:spacing w:after="200"/>
        <w:ind w:firstLine="202"/>
        <w:jc w:val="both"/>
      </w:pPr>
      <w:r>
        <w:rPr>
          <w:rFonts w:ascii="Times New Roman" w:cs="Times New Roman" w:eastAsia="Times New Roman" w:hAnsi="Times New Roman"/>
          <w:b/>
          <w:bCs/>
          <w:i/>
          <w:iCs/>
          <w:sz w:val="18"/>
          <w:szCs w:val="18"/>
        </w:rPr>
        <w:t xml:space="preserve">Keywords—large language models, requirements traceability, technical design documents, retrieval-augmented generation, sentence embeddings, documentation automation</w:t>
      </w:r>
    </w:p>
    <w:p>
      <w:pPr>
        <w:pStyle w:val="Heading1"/>
      </w:pPr>
      <w:r>
        <w:t xml:space="preserve">I. Introduction</w:t>
      </w:r>
    </w:p>
    <w:p>
      <w:pPr>
        <w:spacing w:after="70" w:line="240"/>
        <w:ind w:firstLine="288"/>
        <w:jc w:val="both"/>
      </w:pPr>
      <w:r>
        <w:rPr>
          <w:rFonts w:ascii="Times New Roman" w:cs="Times New Roman" w:eastAsia="Times New Roman" w:hAnsi="Times New Roman"/>
          <w:sz w:val="20"/>
          <w:szCs w:val="20"/>
        </w:rPr>
        <w:t xml:space="preserve">Most software projects pass through a hand-off in which a description of what a system must do is rewritten as a description of how it will be built. The first artifact, the Functional Design Document (FDD), is written for business stakeholders and is organized around features, user roles and business rules. The second, the Technical Design Document (TDD), is written for engineers and specifies the architecture, persistent data model, service interfaces, non-functional targets and deployment topology. The translation between them is usually carried out by an experienced architect, can take several days on a medium-sized project, and varies noticeably from one author to the next.</w:t>
      </w:r>
    </w:p>
    <w:p>
      <w:pPr>
        <w:spacing w:after="70" w:line="240"/>
        <w:ind w:firstLine="288"/>
        <w:jc w:val="both"/>
      </w:pPr>
      <w:r>
        <w:rPr>
          <w:rFonts w:ascii="Times New Roman" w:cs="Times New Roman" w:eastAsia="Times New Roman" w:hAnsi="Times New Roman"/>
          <w:sz w:val="20"/>
          <w:szCs w:val="20"/>
        </w:rPr>
        <w:t xml:space="preserve">Two weaknesses of this manual process motivate our work. First, the translation is costly and depends on scarce expertise, which puts a well-structured TDD out of reach for small teams and student projects. Second, nothing in the process forces every functional requirement to appear somewhere in the design. Omissions tend to surface late, during implementation or acceptance testing, when they are expensive to repair. Traceability research has long argued that explicit links between requirements and downstream artifacts reduce this risk [1], [2], yet such links are rarely maintained in practice because creating them is itself manual work.</w:t>
      </w:r>
    </w:p>
    <w:p>
      <w:pPr>
        <w:spacing w:after="70" w:line="240"/>
        <w:ind w:firstLine="288"/>
        <w:jc w:val="both"/>
      </w:pPr>
      <w:r>
        <w:rPr>
          <w:rFonts w:ascii="Times New Roman" w:cs="Times New Roman" w:eastAsia="Times New Roman" w:hAnsi="Times New Roman"/>
          <w:sz w:val="20"/>
          <w:szCs w:val="20"/>
        </w:rPr>
        <w:t xml:space="preserve">Large language models (LLMs) can now produce fluent, structured technical text from natural-language instructions [3], [4], and they have been applied across most software-engineering activities [5]. Asking a single model call to emit an entire TDD, however, runs into practical limits: long outputs get truncated, one malformed fragment invalidates the whole response, and the model receives far more context than any single section needs. Free inference tiers add a further constraint in the form of strict per-minute token budgets.</w:t>
      </w:r>
    </w:p>
    <w:p>
      <w:pPr>
        <w:spacing w:after="70" w:line="240"/>
        <w:ind w:firstLine="288"/>
        <w:jc w:val="both"/>
      </w:pPr>
      <w:r>
        <w:rPr>
          <w:rFonts w:ascii="Times New Roman" w:cs="Times New Roman" w:eastAsia="Times New Roman" w:hAnsi="Times New Roman"/>
          <w:sz w:val="20"/>
          <w:szCs w:val="20"/>
        </w:rPr>
        <w:t xml:space="preserve">This paper presents an FDD-to-TDD converter designed around these constraints. Its contributions are:</w:t>
      </w:r>
    </w:p>
    <w:p>
      <w:pPr>
        <w:pStyle w:val="ListParagraph"/>
        <w:numPr>
          <w:ilvl w:val="0"/>
          <w:numId w:val="2"/>
        </w:numPr>
        <w:spacing w:after="60"/>
        <w:jc w:val="both"/>
      </w:pPr>
      <w:r>
        <w:rPr>
          <w:rFonts w:ascii="Times New Roman" w:cs="Times New Roman" w:eastAsia="Times New Roman" w:hAnsi="Times New Roman"/>
          <w:sz w:val="20"/>
          <w:szCs w:val="20"/>
        </w:rPr>
        <w:t xml:space="preserve">a tool-oriented generation pipeline that divides a TDD into five independently generated sections, each with its own focused prompt, retrieved context and failure handling;</w:t>
      </w:r>
    </w:p>
    <w:p>
      <w:pPr>
        <w:pStyle w:val="ListParagraph"/>
        <w:numPr>
          <w:ilvl w:val="0"/>
          <w:numId w:val="2"/>
        </w:numPr>
        <w:spacing w:after="60"/>
        <w:jc w:val="both"/>
      </w:pPr>
      <w:r>
        <w:rPr>
          <w:rFonts w:ascii="Times New Roman" w:cs="Times New Roman" w:eastAsia="Times New Roman" w:hAnsi="Times New Roman"/>
          <w:sz w:val="20"/>
          <w:szCs w:val="20"/>
        </w:rPr>
        <w:t xml:space="preserve">a semantic traceability builder that links requirements to generated endpoints, tables and components using sentence embeddings, with a similarity threshold selected from measured distributions rather than by intuition;</w:t>
      </w:r>
    </w:p>
    <w:p>
      <w:pPr>
        <w:pStyle w:val="ListParagraph"/>
        <w:numPr>
          <w:ilvl w:val="0"/>
          <w:numId w:val="2"/>
        </w:numPr>
        <w:spacing w:after="60"/>
        <w:jc w:val="both"/>
      </w:pPr>
      <w:r>
        <w:rPr>
          <w:rFonts w:ascii="Times New Roman" w:cs="Times New Roman" w:eastAsia="Times New Roman" w:hAnsi="Times New Roman"/>
          <w:sz w:val="20"/>
          <w:szCs w:val="20"/>
        </w:rPr>
        <w:t xml:space="preserve">an account of the operational measures needed to run such a pipeline reliably under an 8,000 token-per-minute limit, including sequential scheduling, per-tool fault isolation and control of hidden reasoning tokens; and</w:t>
      </w:r>
    </w:p>
    <w:p>
      <w:pPr>
        <w:pStyle w:val="ListParagraph"/>
        <w:numPr>
          <w:ilvl w:val="0"/>
          <w:numId w:val="2"/>
        </w:numPr>
        <w:spacing w:after="60"/>
        <w:jc w:val="both"/>
      </w:pPr>
      <w:r>
        <w:rPr>
          <w:rFonts w:ascii="Times New Roman" w:cs="Times New Roman" w:eastAsia="Times New Roman" w:hAnsi="Times New Roman"/>
          <w:sz w:val="20"/>
          <w:szCs w:val="20"/>
        </w:rPr>
        <w:t xml:space="preserve">an evaluation drawn from 22 logged generation runs together with a reproducible offline calibration study.</w:t>
      </w:r>
    </w:p>
    <w:p>
      <w:pPr>
        <w:spacing w:after="70" w:line="240"/>
        <w:ind w:firstLine="288"/>
        <w:jc w:val="both"/>
      </w:pPr>
      <w:r>
        <w:rPr>
          <w:rFonts w:ascii="Times New Roman" w:cs="Times New Roman" w:eastAsia="Times New Roman" w:hAnsi="Times New Roman"/>
          <w:sz w:val="20"/>
          <w:szCs w:val="20"/>
        </w:rPr>
        <w:t xml:space="preserve">Section II reviews related work. Section III describes the architecture, and Section IV the implementation choices imposed by the inference budget. Section V reports the evaluation, Section VI discusses limitations, and Section VII concludes.</w:t>
      </w:r>
    </w:p>
    <w:p>
      <w:pPr>
        <w:pStyle w:val="Heading1"/>
      </w:pPr>
      <w:r>
        <w:t xml:space="preserve">II. Related Work</w:t>
      </w:r>
    </w:p>
    <w:p>
      <w:pPr>
        <w:pStyle w:val="Heading2"/>
      </w:pPr>
      <w:r>
        <w:t xml:space="preserve">A. Requirements Traceability</w:t>
      </w:r>
    </w:p>
    <w:p>
      <w:pPr>
        <w:spacing w:after="70" w:line="240"/>
        <w:ind w:firstLine="288"/>
        <w:jc w:val="both"/>
      </w:pPr>
      <w:r>
        <w:rPr>
          <w:rFonts w:ascii="Times New Roman" w:cs="Times New Roman" w:eastAsia="Times New Roman" w:hAnsi="Times New Roman"/>
          <w:sz w:val="20"/>
          <w:szCs w:val="20"/>
        </w:rPr>
        <w:t xml:space="preserve">Gotel and Finkelstein framed the requirements traceability problem as keeping track of a requirement’s life in both forward and backward directions, and observed that most practical difficulties arise from how trace information is produced rather than how it is stored [1]. Early automated approaches treated link recovery as information retrieval: Antoniol et al. ranked candidate links between code and documentation with probabilistic and vector-space models [6], and Marcus and Maletic applied latent semantic indexing to the same task [7]. Such methods depend on shared vocabulary and degrade when two artifacts describe one concept in different words. Guo et al. showed that recurrent networks over word embeddings recover more links than retrieval baselines [8], and Lin et al. reported further gains by fine-tuning pre-trained BERT models for trace-link classification [9]. Cleland-Huang et al. list the automated creation of trace links among the field’s central open challenges [2].</w:t>
      </w:r>
    </w:p>
    <w:p>
      <w:pPr>
        <w:spacing w:after="70" w:line="240"/>
        <w:ind w:firstLine="288"/>
        <w:jc w:val="both"/>
      </w:pPr>
      <w:r>
        <w:rPr>
          <w:rFonts w:ascii="Times New Roman" w:cs="Times New Roman" w:eastAsia="Times New Roman" w:hAnsi="Times New Roman"/>
          <w:sz w:val="20"/>
          <w:szCs w:val="20"/>
        </w:rPr>
        <w:t xml:space="preserve">All of these techniques recover links between artifacts that already exist. In our setting the design artifacts are generated moments before the links are computed, so traceability serves as a check on the generator’s own output rather than as an archaeology task over a mature code base.</w:t>
      </w:r>
    </w:p>
    <w:p>
      <w:pPr>
        <w:pStyle w:val="Heading2"/>
      </w:pPr>
      <w:r>
        <w:t xml:space="preserve">B. Large Language Models in Software Engineering</w:t>
      </w:r>
    </w:p>
    <w:p>
      <w:pPr>
        <w:spacing w:after="70" w:line="240"/>
        <w:ind w:firstLine="288"/>
        <w:jc w:val="both"/>
      </w:pPr>
      <w:r>
        <w:rPr>
          <w:rFonts w:ascii="Times New Roman" w:cs="Times New Roman" w:eastAsia="Times New Roman" w:hAnsi="Times New Roman"/>
          <w:sz w:val="20"/>
          <w:szCs w:val="20"/>
        </w:rPr>
        <w:t xml:space="preserve">Transformer models [10] pre-trained on large corpora [11] and scaled to billions of parameters [3] can perform new tasks from instructions alone, particularly after instruction tuning [4]. Code-oriented models such as Codex showed that this ability extends to program synthesis [12], and a recent systematic review catalogues LLM use across requirements, design, implementation, testing and maintenance [5]. Surveys of prompting practice [13] and of hallucination in text generation [14] raise two concerns that bear directly on this work: output quality is sensitive to how a task is framed, and fluent output can still contain unsupported claims. We respond to the first by giving each generation step a narrow, schema-bound prompt, and to the second by keeping a human reviewer in the loop through an editable output view, with the traceability matrix pointing the reviewer toward places where design and requirements diverge.</w:t>
      </w:r>
    </w:p>
    <w:p>
      <w:pPr>
        <w:pStyle w:val="Heading2"/>
      </w:pPr>
      <w:r>
        <w:t xml:space="preserve">C. Retrieval and Tool Orchestration</w:t>
      </w:r>
    </w:p>
    <w:p>
      <w:pPr>
        <w:spacing w:after="70" w:line="240"/>
        <w:ind w:firstLine="288"/>
        <w:jc w:val="both"/>
      </w:pPr>
      <w:r>
        <w:rPr>
          <w:rFonts w:ascii="Times New Roman" w:cs="Times New Roman" w:eastAsia="Times New Roman" w:hAnsi="Times New Roman"/>
          <w:sz w:val="20"/>
          <w:szCs w:val="20"/>
        </w:rPr>
        <w:t xml:space="preserve">Retrieval-augmented generation (RAG) conditions a generator on passages fetched from an external corpus, which improves factual grounding [15]. Dense retrieval of this kind depends on sentence encoders; Sentence-BERT made such encoders efficient enough for similarity search [16], and distilled models such as MiniLM reduce their cost further [17]. A separate line of work lets models reason about and invoke external tools [18], [19], and the Model Context Protocol (MCP) standardizes how an application exposes tools and context to a model [20]. Our pipeline borrows the idea of a coordinator dispatching specialized tools, but keeps the coordinator deterministic: the sequence of tools is fixed in code rather than chosen by the model, which makes the cost of a run predictable under a hard token budget. Retrieval is likewise reduced to its simplest workable form, an in-memory similarity search over the chunks of a single document.</w:t>
      </w:r>
    </w:p>
    <w:p>
      <w:pPr>
        <w:pStyle w:val="Heading1"/>
      </w:pPr>
      <w:r>
        <w:t xml:space="preserve">III. System Architecture</w:t>
      </w:r>
    </w:p>
    <w:p>
      <w:pPr>
        <w:pStyle w:val="Heading2"/>
      </w:pPr>
      <w:r>
        <w:t xml:space="preserve">A. Overview</w:t>
      </w:r>
    </w:p>
    <w:p>
      <w:pPr>
        <w:spacing w:after="70" w:line="240"/>
        <w:ind w:firstLine="288"/>
        <w:jc w:val="both"/>
      </w:pPr>
      <w:r>
        <w:rPr>
          <w:rFonts w:ascii="Times New Roman" w:cs="Times New Roman" w:eastAsia="Times New Roman" w:hAnsi="Times New Roman"/>
          <w:sz w:val="20"/>
          <w:szCs w:val="20"/>
        </w:rPr>
        <w:t xml:space="preserve">The system consists of three services, shown in Fig. 1. A React single-page application handles upload, presents the generated TDD in tabbed views with rendered diagrams, and lets the user edit any field, including individual traceability entries. An Express.js backend stores uploads and generated documents, persists user edits, and exports finished TDDs to HTML and, through a headless browser, to PDF. A Python FastAPI microservice performs parsing, extraction, retrieval, generation and traceability computation. The services exchange JSON over HTTP, so each can be developed and tested in isolation.</w:t>
      </w:r>
    </w:p>
    <w:p>
      <w:pPr>
        <w:keepNext/>
        <w:spacing w:after="60" w:before="120"/>
        <w:jc w:val="center"/>
      </w:pPr>
      <w:r>
        <w:drawing>
          <wp:inline distT="0" distB="0" distL="0" distR="0">
            <wp:extent cx="2857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000375"/>
                    </a:xfrm>
                    <a:prstGeom prst="rect">
                      <a:avLst/>
                    </a:prstGeom>
                  </pic:spPr>
                </pic:pic>
              </a:graphicData>
            </a:graphic>
          </wp:inline>
        </w:drawing>
      </w:r>
    </w:p>
    <w:p>
      <w:pPr>
        <w:spacing w:after="200"/>
        <w:jc w:val="both"/>
      </w:pPr>
      <w:r>
        <w:rPr>
          <w:rFonts w:ascii="Times New Roman" w:cs="Times New Roman" w:eastAsia="Times New Roman" w:hAnsi="Times New Roman"/>
          <w:sz w:val="16"/>
          <w:szCs w:val="16"/>
        </w:rPr>
        <w:t xml:space="preserve">Fig. 1.  Architecture of the FDD-to-TDD converter. The five generation tools run in sequence against the Groq inference API; the same embedding model serves retrieval and traceability.</w:t>
      </w:r>
    </w:p>
    <w:p>
      <w:pPr>
        <w:pStyle w:val="Heading2"/>
      </w:pPr>
      <w:r>
        <w:t xml:space="preserve">B. Document Ingestion and Component Extraction</w:t>
      </w:r>
    </w:p>
    <w:p>
      <w:pPr>
        <w:spacing w:after="70" w:line="240"/>
        <w:ind w:firstLine="288"/>
        <w:jc w:val="both"/>
      </w:pPr>
      <w:r>
        <w:rPr>
          <w:rFonts w:ascii="Times New Roman" w:cs="Times New Roman" w:eastAsia="Times New Roman" w:hAnsi="Times New Roman"/>
          <w:sz w:val="20"/>
          <w:szCs w:val="20"/>
        </w:rPr>
        <w:t xml:space="preserve">Uploads are converted to plain text by format-specific readers: PyPDF2 for PDF, python-docx for Word files, and direct decoding for Markdown and plain text. A rule-based extractor then identifies functional and non-functional requirements, actors, workflows, business rules, features and data entities, together with the document’s section structure. Requirements are detected with modal-verb patterns anchored on a subject (for example, a sentence in which “the system” or a user role is followed by “shall”, “must” or “will”), constraints with negated modals, actors with a vocabulary of role nouns, and sections with heading patterns.</w:t>
      </w:r>
    </w:p>
    <w:p>
      <w:pPr>
        <w:spacing w:after="70" w:line="240"/>
        <w:ind w:firstLine="288"/>
        <w:jc w:val="both"/>
      </w:pPr>
      <w:r>
        <w:rPr>
          <w:rFonts w:ascii="Times New Roman" w:cs="Times New Roman" w:eastAsia="Times New Roman" w:hAnsi="Times New Roman"/>
          <w:sz w:val="20"/>
          <w:szCs w:val="20"/>
        </w:rPr>
        <w:t xml:space="preserve">We deliberately avoided a statistical NLP toolkit at this stage. The extracted components serve as prompt material and as matching keys, not as final output, so recall matters more than linguistic precision, and dropping a large model dependency simplifies deployment. Lists are capped to bound prompt size; for example, at most 30 functional requirements are passed on, and on one sample FDD this kept 30 of 80 pattern matches.</w:t>
      </w:r>
    </w:p>
    <w:p>
      <w:pPr>
        <w:pStyle w:val="Heading2"/>
      </w:pPr>
      <w:r>
        <w:t xml:space="preserve">C. Orchestrated Generation</w:t>
      </w:r>
    </w:p>
    <w:p>
      <w:pPr>
        <w:spacing w:after="70" w:line="240"/>
        <w:ind w:firstLine="288"/>
        <w:jc w:val="both"/>
      </w:pPr>
      <w:r>
        <w:rPr>
          <w:rFonts w:ascii="Times New Roman" w:cs="Times New Roman" w:eastAsia="Times New Roman" w:hAnsi="Times New Roman"/>
          <w:sz w:val="20"/>
          <w:szCs w:val="20"/>
        </w:rPr>
        <w:t xml:space="preserve">Generation is split across five tools. Each builds a prompt for one part of the TDD and requests a JSON object with a fixed schema: (i) an ER generator producing tables, columns, keys and relationships together with an ER diagram in Mermaid syntax [21]; (ii) a sequence generator producing interaction diagrams for the principal workflows; (iii) an API contract generator producing REST endpoints with methods, paths, payloads and the FDD requirement each endpoint serves; (iv) an architecture and component builder producing the architectural style, system components, frontend components and backend services, with a flowchart; and (v) an NFR and deployment mapper producing performance, scalability, security, availability and maintainability targets along with environments, CI/CD and monitoring. All tool calls use the open-weight model gpt-oss-20b [22] served by Groq [23] at temperature 0.2.</w:t>
      </w:r>
    </w:p>
    <w:p>
      <w:pPr>
        <w:spacing w:after="70" w:line="240"/>
        <w:ind w:firstLine="288"/>
        <w:jc w:val="both"/>
      </w:pPr>
      <w:r>
        <w:rPr>
          <w:rFonts w:ascii="Times New Roman" w:cs="Times New Roman" w:eastAsia="Times New Roman" w:hAnsi="Times New Roman"/>
          <w:sz w:val="20"/>
          <w:szCs w:val="20"/>
        </w:rPr>
        <w:t xml:space="preserve">The orchestrator merges the five results into one document and assembles the introduction section (purpose, scope, assumptions, constraints and technology stack) directly from the extracted components and the merged output, which saves a sixth model call. Each tool’s result is checked on its own: a tool that fails contributes an empty but well-formed section and is recorded in the run’s metadata, while the other sections are kept as produced. If the orchestrated path raises an unrecoverable error, a fallback sends a single prompt for the whole document to the larger gpt-oss-120b model; if that also fails after a retry, the user receives a clearly flagged placeholder rather than an opaque error.</w:t>
      </w:r>
    </w:p>
    <w:p>
      <w:pPr>
        <w:pStyle w:val="Heading2"/>
      </w:pPr>
      <w:r>
        <w:t xml:space="preserve">D. Lightweight Retrieval</w:t>
      </w:r>
    </w:p>
    <w:p>
      <w:pPr>
        <w:spacing w:after="70" w:line="240"/>
        <w:ind w:firstLine="288"/>
        <w:jc w:val="both"/>
      </w:pPr>
      <w:r>
        <w:rPr>
          <w:rFonts w:ascii="Times New Roman" w:cs="Times New Roman" w:eastAsia="Times New Roman" w:hAnsi="Times New Roman"/>
          <w:sz w:val="20"/>
          <w:szCs w:val="20"/>
        </w:rPr>
        <w:t xml:space="preserve">Three of the five tools need raw document text. Instead of a truncated prefix of the FDD, they receive retrieved passages. The document is split into 600-character windows that overlap by 100 characters, each window is embedded with all-MiniLM-L6-v2, and the windows most similar to a tool-specific query are returned in their original order, capped at 3,000 characters. Because several tools query the same document, window embeddings are cached under a SHA-256 hash of the document text in a least-recently-used store of 20 entries.</w:t>
      </w:r>
    </w:p>
    <w:p>
      <w:pPr>
        <w:spacing w:after="70" w:line="240"/>
        <w:ind w:firstLine="288"/>
        <w:jc w:val="both"/>
      </w:pPr>
      <w:r>
        <w:rPr>
          <w:rFonts w:ascii="Times New Roman" w:cs="Times New Roman" w:eastAsia="Times New Roman" w:hAnsi="Times New Roman"/>
          <w:sz w:val="20"/>
          <w:szCs w:val="20"/>
        </w:rPr>
        <w:t xml:space="preserve">For one document the working set is a few dozen vectors, so an in-process NumPy search is both faster and simpler than an external vector database. A database would earn its place only if chunks had to persist across requests or span a large corpus of documents.</w:t>
      </w:r>
    </w:p>
    <w:p>
      <w:pPr>
        <w:pStyle w:val="Heading2"/>
      </w:pPr>
      <w:r>
        <w:t xml:space="preserve">E. Semantic Traceability</w:t>
      </w:r>
    </w:p>
    <w:p>
      <w:pPr>
        <w:spacing w:after="70" w:line="240"/>
        <w:ind w:firstLine="288"/>
        <w:jc w:val="both"/>
      </w:pPr>
      <w:r>
        <w:rPr>
          <w:rFonts w:ascii="Times New Roman" w:cs="Times New Roman" w:eastAsia="Times New Roman" w:hAnsi="Times New Roman"/>
          <w:sz w:val="20"/>
          <w:szCs w:val="20"/>
        </w:rPr>
        <w:t xml:space="preserve">After generation, every extracted requirement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is compared with a candidate set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formed by the API endpoints (description, path and the requirement text the generator attached to the endpoint), the tables (name and purpose) and the components (name and responsibility). All strings are embedded in one batch per candidate type, and similarity is the cosine of the embedding vectors:</w:t>
      </w:r>
    </w:p>
    <w:p>
      <w:pPr>
        <w:tabs>
          <w:tab w:val="center" w:pos="2511"/>
          <w:tab w:val="right" w:pos="5022"/>
        </w:tabs>
        <w:spacing w:after="120" w:before="8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sim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e</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e</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e</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70" w:line="240"/>
        <w:ind w:firstLine="288"/>
        <w:jc w:val="both"/>
      </w:pPr>
      <w:r>
        <w:rPr>
          <w:rFonts w:ascii="Times New Roman" w:cs="Times New Roman" w:eastAsia="Times New Roman" w:hAnsi="Times New Roman"/>
          <w:sz w:val="20"/>
          <w:szCs w:val="20"/>
        </w:rPr>
        <w:t xml:space="preserve">A requirement is linked to every table or component whose similarity reaches a threshold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and to at most three endpoints above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ranked by similarity. Its coverage label is then</w:t>
      </w:r>
    </w:p>
    <w:p>
      <w:pPr>
        <w:tabs>
          <w:tab w:val="center" w:pos="2511"/>
          <w:tab w:val="right" w:pos="5022"/>
        </w:tabs>
        <w:spacing w:after="120" w:before="8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cov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full if max</w:t>
      </w:r>
      <w:r>
        <w:rPr>
          <w:rFonts w:ascii="Times New Roman" w:cs="Times New Roman" w:eastAsia="Times New Roman" w:hAnsi="Times New Roman"/>
          <w:i/>
          <w:iCs/>
          <w:sz w:val="20"/>
          <w:szCs w:val="20"/>
          <w:vertAlign w:val="subscript"/>
        </w:rPr>
        <w:t xml:space="preserve">a∈C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sim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else partial</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spacing w:after="70" w:line="240"/>
        <w:ind w:firstLine="288"/>
        <w:jc w:val="both"/>
      </w:pPr>
      <w:r>
        <w:rPr>
          <w:rFonts w:ascii="Times New Roman" w:cs="Times New Roman" w:eastAsia="Times New Roman" w:hAnsi="Times New Roman"/>
          <w:sz w:val="20"/>
          <w:szCs w:val="20"/>
        </w:rPr>
        <w:t xml:space="preserve">Workflows are attached for context using a stricter threshold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rPr>
        <w:t xml:space="preserve">, and up to five FDD features are added as extra rows unless one of them duplicates an existing requirement (similarity with some requirement of at least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rPr>
        <w:t xml:space="preserve">). We use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0.40 and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sz w:val="20"/>
          <w:szCs w:val="20"/>
        </w:rPr>
        <w:t xml:space="preserve"> = 0.45; Section V-D explains the choice. Reviewers can relabel any row, including as uncovered, in the editor. If the embedding model cannot be loaded, the builder reverts to counting shared words after stop-word removal, so a matrix is always produced.</w:t>
      </w:r>
    </w:p>
    <w:p>
      <w:pPr>
        <w:pStyle w:val="Heading2"/>
      </w:pPr>
      <w:r>
        <w:t xml:space="preserve">F. Review, Editing and Export</w:t>
      </w:r>
    </w:p>
    <w:p>
      <w:pPr>
        <w:spacing w:after="70" w:line="240"/>
        <w:ind w:firstLine="288"/>
        <w:jc w:val="both"/>
      </w:pPr>
      <w:r>
        <w:rPr>
          <w:rFonts w:ascii="Times New Roman" w:cs="Times New Roman" w:eastAsia="Times New Roman" w:hAnsi="Times New Roman"/>
          <w:sz w:val="20"/>
          <w:szCs w:val="20"/>
        </w:rPr>
        <w:t xml:space="preserve">Each TDD section is rendered in its own tab, and diagrams are drawn in the browser from the generated Mermaid source after a sanitization pass that repairs common syntax faults in model output. Every field is editable in place, and edits are written back through a dedicated update endpoint, so an exported document reflects the reviewer’s corrections rather than the raw generation. The HTML and PDF exports share one stylesheet, so the two formats match.</w:t>
      </w:r>
    </w:p>
    <w:p>
      <w:pPr>
        <w:pStyle w:val="Heading1"/>
      </w:pPr>
      <w:r>
        <w:t xml:space="preserve">IV. Implementation Under a Token Budget</w:t>
      </w:r>
    </w:p>
    <w:p>
      <w:pPr>
        <w:spacing w:after="70" w:line="240"/>
        <w:ind w:firstLine="288"/>
        <w:jc w:val="both"/>
      </w:pPr>
      <w:r>
        <w:rPr>
          <w:rFonts w:ascii="Times New Roman" w:cs="Times New Roman" w:eastAsia="Times New Roman" w:hAnsi="Times New Roman"/>
          <w:sz w:val="20"/>
          <w:szCs w:val="20"/>
        </w:rPr>
        <w:t xml:space="preserve">The inference account used for this work allows 8,000 tokens per minute, shared by all models, and a request is admitted only if its prompt length plus its requested </w:t>
      </w:r>
      <w:r>
        <w:rPr>
          <w:rFonts w:ascii="Courier New" w:cs="Courier New" w:eastAsia="Courier New" w:hAnsi="Courier New"/>
          <w:sz w:val="18"/>
          <w:szCs w:val="18"/>
        </w:rPr>
        <w:t xml:space="preserve">max_tokens</w:t>
      </w:r>
      <w:r>
        <w:rPr>
          <w:rFonts w:ascii="Times New Roman" w:cs="Times New Roman" w:eastAsia="Times New Roman" w:hAnsi="Times New Roman"/>
          <w:sz w:val="20"/>
          <w:szCs w:val="20"/>
        </w:rPr>
        <w:t xml:space="preserve"> fits within the remaining budget. This single constraint shaped most of the implementation decisions described below.</w:t>
      </w:r>
    </w:p>
    <w:p>
      <w:pPr>
        <w:pStyle w:val="Heading2"/>
      </w:pPr>
      <w:r>
        <w:t xml:space="preserve">A. Sequential Scheduling</w:t>
      </w:r>
    </w:p>
    <w:p>
      <w:pPr>
        <w:spacing w:after="70" w:line="240"/>
        <w:ind w:firstLine="288"/>
        <w:jc w:val="both"/>
      </w:pPr>
      <w:r>
        <w:rPr>
          <w:rFonts w:ascii="Times New Roman" w:cs="Times New Roman" w:eastAsia="Times New Roman" w:hAnsi="Times New Roman"/>
          <w:sz w:val="20"/>
          <w:szCs w:val="20"/>
        </w:rPr>
        <w:t xml:space="preserve">Because the five tools do not depend on each other, running them concurrently is the obvious optimization. We implemented it and then withdrew it. Several tools need 4,000 or more output tokens for a complete section, and five simultaneous requests exceeded the shared budget in aggregate no matter how their individual limits were tuned, producing cascades of HTTP 429 responses and truncated JSON. Running the tools one after another lets the rolling one-minute window partly refill between calls. Output limits are set per tool: 5,500 tokens by default and 7,000 for the API contract generator, whose prompt carries no document excerpt and whose output grows with the number of requirements and entities. The fallback prompt is limited to 5,000 output tokens because its input alone occupies roughly 2,500–3,000 tokens.</w:t>
      </w:r>
    </w:p>
    <w:p>
      <w:pPr>
        <w:pStyle w:val="Heading2"/>
      </w:pPr>
      <w:r>
        <w:t xml:space="preserve">B. Hidden Reasoning Tokens</w:t>
      </w:r>
    </w:p>
    <w:p>
      <w:pPr>
        <w:spacing w:after="70" w:line="240"/>
        <w:ind w:firstLine="288"/>
        <w:jc w:val="both"/>
      </w:pPr>
      <w:r>
        <w:rPr>
          <w:rFonts w:ascii="Times New Roman" w:cs="Times New Roman" w:eastAsia="Times New Roman" w:hAnsi="Times New Roman"/>
          <w:sz w:val="20"/>
          <w:szCs w:val="20"/>
        </w:rPr>
        <w:t xml:space="preserve">The gpt-oss models produce an internal reasoning trace before the visible answer [22], and that trace is charged against </w:t>
      </w:r>
      <w:r>
        <w:rPr>
          <w:rFonts w:ascii="Courier New" w:cs="Courier New" w:eastAsia="Courier New" w:hAnsi="Courier New"/>
          <w:sz w:val="18"/>
          <w:szCs w:val="18"/>
        </w:rPr>
        <w:t xml:space="preserve">max_tokens</w:t>
      </w:r>
      <w:r>
        <w:rPr>
          <w:rFonts w:ascii="Times New Roman" w:cs="Times New Roman" w:eastAsia="Times New Roman" w:hAnsi="Times New Roman"/>
          <w:sz w:val="20"/>
          <w:szCs w:val="20"/>
        </w:rPr>
        <w:t xml:space="preserve"> without appearing in the response. With default settings, a representative tool prompt and a 3,000-token cap, 691 tokens went to reasoning and the model ran out of budget before closing the JSON object. Setting the </w:t>
      </w:r>
      <w:r>
        <w:rPr>
          <w:rFonts w:ascii="Courier New" w:cs="Courier New" w:eastAsia="Courier New" w:hAnsi="Courier New"/>
          <w:sz w:val="18"/>
          <w:szCs w:val="18"/>
        </w:rPr>
        <w:t xml:space="preserve">reasoning_effort</w:t>
      </w:r>
      <w:r>
        <w:rPr>
          <w:rFonts w:ascii="Times New Roman" w:cs="Times New Roman" w:eastAsia="Times New Roman" w:hAnsi="Times New Roman"/>
          <w:sz w:val="20"/>
          <w:szCs w:val="20"/>
        </w:rPr>
        <w:t xml:space="preserve"> parameter to </w:t>
      </w:r>
      <w:r>
        <w:rPr>
          <w:rFonts w:ascii="Courier New" w:cs="Courier New" w:eastAsia="Courier New" w:hAnsi="Courier New"/>
          <w:sz w:val="18"/>
          <w:szCs w:val="18"/>
        </w:rPr>
        <w:t xml:space="preserve">low</w:t>
      </w:r>
      <w:r>
        <w:rPr>
          <w:rFonts w:ascii="Times New Roman" w:cs="Times New Roman" w:eastAsia="Times New Roman" w:hAnsi="Times New Roman"/>
          <w:sz w:val="20"/>
          <w:szCs w:val="20"/>
        </w:rPr>
        <w:t xml:space="preserve"> cut the reasoning share to 31 tokens; the same prompt then finished with 1,246 tokens in total, produced valid JSON, and completed about 40% faster (Table I). For schema-bound generation, where the prompt dictates the structure of the answer, low reasoning effort caused no visible loss of quality in our trials and removed one of the main causes of truncation.</w:t>
      </w:r>
    </w:p>
    <w:p>
      <w:pPr>
        <w:keepNext/>
        <w:spacing w:after="80" w:before="160"/>
        <w:jc w:val="center"/>
      </w:pPr>
      <w:r>
        <w:rPr>
          <w:rFonts w:ascii="Times New Roman" w:cs="Times New Roman" w:eastAsia="Times New Roman" w:hAnsi="Times New Roman"/>
          <w:sz w:val="16"/>
          <w:szCs w:val="16"/>
        </w:rPr>
        <w:t xml:space="preserve">TABLE I.  </w:t>
      </w:r>
      <w:r>
        <w:rPr>
          <w:rFonts w:ascii="Times New Roman" w:cs="Times New Roman" w:eastAsia="Times New Roman" w:hAnsi="Times New Roman"/>
          <w:smallCaps/>
          <w:sz w:val="16"/>
          <w:szCs w:val="16"/>
        </w:rPr>
        <w:t xml:space="preserve">Effect of Reasoning Effort on One Tool Prompt</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1060"/>
        <w:gridCol w:w="1000"/>
        <w:gridCol w:w="1080"/>
        <w:gridCol w:w="1000"/>
        <w:gridCol w:w="882"/>
      </w:tblGrid>
      <w:tr>
        <w:trPr>
          <w:tblHeader/>
        </w:trPr>
        <w:tc>
          <w:tcPr>
            <w:tcW w:type="dxa" w:w="10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Setting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Reasoning tokens</w:t>
            </w:r>
          </w:p>
        </w:tc>
        <w:tc>
          <w:tcPr>
            <w:tcW w:type="dxa" w:w="10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Total tokens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Valid JSON</w:t>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Relative time</w:t>
            </w:r>
          </w:p>
        </w:tc>
      </w:tr>
      <w:tr>
        <w:trPr>
          <w:cantSplit/>
        </w:trPr>
        <w:tc>
          <w:tcPr>
            <w:tcW w:type="dxa" w:w="10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Default</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691</w:t>
            </w:r>
          </w:p>
        </w:tc>
        <w:tc>
          <w:tcPr>
            <w:tcW w:type="dxa" w:w="10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3,000 (cap)</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No</w:t>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1.00</w:t>
            </w:r>
          </w:p>
        </w:tc>
      </w:tr>
      <w:tr>
        <w:trPr>
          <w:cantSplit/>
        </w:trPr>
        <w:tc>
          <w:tcPr>
            <w:tcW w:type="dxa" w:w="106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Low</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31</w:t>
            </w:r>
          </w:p>
        </w:tc>
        <w:tc>
          <w:tcPr>
            <w:tcW w:type="dxa" w:w="10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1,246</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Yes</w:t>
            </w:r>
          </w:p>
        </w:tc>
        <w:tc>
          <w:tcPr>
            <w:tcW w:type="dxa" w:w="88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≈0.60</w:t>
            </w:r>
          </w:p>
        </w:tc>
      </w:tr>
    </w:tbl>
    <w:p>
      <w:pPr>
        <w:spacing w:after="160" w:before="40"/>
        <w:jc w:val="left"/>
      </w:pPr>
      <w:r>
        <w:rPr>
          <w:rFonts w:ascii="Times New Roman" w:cs="Times New Roman" w:eastAsia="Times New Roman" w:hAnsi="Times New Roman"/>
          <w:sz w:val="16"/>
          <w:szCs w:val="16"/>
        </w:rPr>
        <w:t xml:space="preserve">Single prompt measured before and after the change; relative time is wall-clock latency normalized to the default setting.</w:t>
      </w:r>
    </w:p>
    <w:p>
      <w:pPr>
        <w:pStyle w:val="Heading2"/>
      </w:pPr>
      <w:r>
        <w:t xml:space="preserve">C. Fault Isolation and Retry</w:t>
      </w:r>
    </w:p>
    <w:p>
      <w:pPr>
        <w:spacing w:after="70" w:line="240"/>
        <w:ind w:firstLine="288"/>
        <w:jc w:val="both"/>
      </w:pPr>
      <w:r>
        <w:rPr>
          <w:rFonts w:ascii="Times New Roman" w:cs="Times New Roman" w:eastAsia="Times New Roman" w:hAnsi="Times New Roman"/>
          <w:sz w:val="20"/>
          <w:szCs w:val="20"/>
        </w:rPr>
        <w:t xml:space="preserve">Each tool call is wrapped in a function that makes up to two attempts and treats both malformed JSON and API-level errors, such as exhausted rate-limit retries or network faults, as retryable. The wrapper never raises; after a second failure it returns an error marker for that tool alone. This detail turned out to matter. In an earlier version only JSON parsing errors were caught, and a rate-limit exception in the last tool escaped the orchestrator, discarding four sections that had already been generated and forcing the single-prompt fallback, which then also failed to parse. The user was shown a document whose purpose field read “Parse error” and a completeness score of 9%. With the change, the same condition yields a document with four of five sections and the missing one clearly marked. The fallback path received the same two-attempt treatment and now logs each failure, which had previously been silent.</w:t>
      </w:r>
    </w:p>
    <w:p>
      <w:pPr>
        <w:pStyle w:val="Heading2"/>
      </w:pPr>
      <w:r>
        <w:t xml:space="preserve">D. Output Sanitization and Throttling</w:t>
      </w:r>
    </w:p>
    <w:p>
      <w:pPr>
        <w:spacing w:after="70" w:line="240"/>
        <w:ind w:firstLine="288"/>
        <w:jc w:val="both"/>
      </w:pPr>
      <w:r>
        <w:rPr>
          <w:rFonts w:ascii="Times New Roman" w:cs="Times New Roman" w:eastAsia="Times New Roman" w:hAnsi="Times New Roman"/>
          <w:sz w:val="20"/>
          <w:szCs w:val="20"/>
        </w:rPr>
        <w:t xml:space="preserve">Model output is cleaned before use. Markdown code fences around JSON are removed before parsing. Mermaid text is repaired on the client; for example, when a model gives a subgraph the same identifier as a node inside it, the renderer rejects the diagram with a cycle error, so the sanitizer renames the conflicting identifier everywhere except inside bracketed display labels, leaving the visible text unchanged.</w:t>
      </w:r>
    </w:p>
    <w:p>
      <w:pPr>
        <w:spacing w:after="70" w:line="240"/>
        <w:ind w:firstLine="288"/>
        <w:jc w:val="both"/>
      </w:pPr>
      <w:r>
        <w:rPr>
          <w:rFonts w:ascii="Times New Roman" w:cs="Times New Roman" w:eastAsia="Times New Roman" w:hAnsi="Times New Roman"/>
          <w:sz w:val="20"/>
          <w:szCs w:val="20"/>
        </w:rPr>
        <w:t xml:space="preserve">To protect the daily quota from repeated clicks during testing and demonstrations, the generation endpoints enforce a global 60-second cool-down and answer early requests with HTTP 429 and a waiting time. Timeouts are nested so that each outer layer waits longer than the one it calls (180 s at the backend, 200 s in the browser), which prevents a slow but successful generation from being reported as a failure.</w:t>
      </w:r>
    </w:p>
    <w:p>
      <w:pPr>
        <w:pStyle w:val="Heading1"/>
      </w:pPr>
      <w:r>
        <w:t xml:space="preserve">V. Evaluation</w:t>
      </w:r>
    </w:p>
    <w:p>
      <w:pPr>
        <w:pStyle w:val="Heading2"/>
      </w:pPr>
      <w:r>
        <w:t xml:space="preserve">A. Setup</w:t>
      </w:r>
    </w:p>
    <w:p>
      <w:pPr>
        <w:spacing w:after="70" w:line="240"/>
        <w:ind w:firstLine="288"/>
        <w:jc w:val="both"/>
      </w:pPr>
      <w:r>
        <w:rPr>
          <w:rFonts w:ascii="Times New Roman" w:cs="Times New Roman" w:eastAsia="Times New Roman" w:hAnsi="Times New Roman"/>
          <w:sz w:val="20"/>
          <w:szCs w:val="20"/>
        </w:rPr>
        <w:t xml:space="preserve">We report two kinds of evidence. The first is operational. Every generation performed during development was saved with its extracted components, the generated TDD and the orchestration metadata, giving 22 runs. The runs come from seven uploaded files that contain two distinct FDDs, an online learning management system (LMS) and an employee leave management system (ELMS); the remaining files are re-uploads of the LMS document in DOCX and Markdown form. Because the runs span successive versions of the pipeline, they characterize behavior and failure modes rather than forming a controlled benchmark. The second kind of evidence is an offline calibration of the traceability threshold on the most recent complete run, which requires no model calls and can be reproduced exactly.</w:t>
      </w:r>
    </w:p>
    <w:p>
      <w:pPr>
        <w:pStyle w:val="Heading2"/>
      </w:pPr>
      <w:r>
        <w:t xml:space="preserve">B. Extraction and Generated Content</w:t>
      </w:r>
    </w:p>
    <w:p>
      <w:pPr>
        <w:spacing w:after="70" w:line="240"/>
        <w:ind w:firstLine="288"/>
        <w:jc w:val="both"/>
      </w:pPr>
      <w:r>
        <w:rPr>
          <w:rFonts w:ascii="Times New Roman" w:cs="Times New Roman" w:eastAsia="Times New Roman" w:hAnsi="Times New Roman"/>
          <w:sz w:val="20"/>
          <w:szCs w:val="20"/>
        </w:rPr>
        <w:t xml:space="preserve">Table II lists the components extracted from the two FDDs. Only the functional-requirement list reached its cap. Across the 12 runs in which all five tools succeeded, the generated TDDs contained 14–59 API endpoints (mean 25.5), 5–13 tables (mean 8.8), 2–6 sequence diagrams, 2–9 frontend components and 3–7 backend services.</w:t>
      </w:r>
    </w:p>
    <w:p>
      <w:pPr>
        <w:keepNext/>
        <w:spacing w:after="80" w:before="160"/>
        <w:jc w:val="center"/>
      </w:pPr>
      <w:r>
        <w:rPr>
          <w:rFonts w:ascii="Times New Roman" w:cs="Times New Roman" w:eastAsia="Times New Roman" w:hAnsi="Times New Roman"/>
          <w:sz w:val="16"/>
          <w:szCs w:val="16"/>
        </w:rPr>
        <w:t xml:space="preserve">TABLE II.  </w:t>
      </w:r>
      <w:r>
        <w:rPr>
          <w:rFonts w:ascii="Times New Roman" w:cs="Times New Roman" w:eastAsia="Times New Roman" w:hAnsi="Times New Roman"/>
          <w:smallCaps/>
          <w:sz w:val="16"/>
          <w:szCs w:val="16"/>
        </w:rPr>
        <w:t xml:space="preserve">Components Extracted from the Two FDDs</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2622"/>
        <w:gridCol w:w="1200"/>
        <w:gridCol w:w="1200"/>
      </w:tblGrid>
      <w:tr>
        <w:trPr>
          <w:tblHeader/>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Component</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LMS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ELMS</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Functional requirements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30ᵃ</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30ᵃ</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Non-functional requirements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10</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Workflows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20</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Business rules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15</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15</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Actors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Features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Data entities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14</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7</w:t>
            </w:r>
          </w:p>
        </w:tc>
      </w:tr>
      <w:tr>
        <w:trPr>
          <w:cantSplit/>
        </w:trPr>
        <w:tc>
          <w:tcPr>
            <w:tcW w:type="dxa" w:w="26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Document sections</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24</w:t>
            </w:r>
          </w:p>
        </w:tc>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17</w:t>
            </w:r>
          </w:p>
        </w:tc>
      </w:tr>
    </w:tbl>
    <w:p>
      <w:pPr>
        <w:spacing w:after="160" w:before="40"/>
        <w:jc w:val="left"/>
      </w:pPr>
      <w:r>
        <w:rPr>
          <w:rFonts w:ascii="Times New Roman" w:cs="Times New Roman" w:eastAsia="Times New Roman" w:hAnsi="Times New Roman"/>
          <w:sz w:val="16"/>
          <w:szCs w:val="16"/>
        </w:rPr>
        <w:t xml:space="preserve">a. Capped at 30; the LMS document produced 80 pattern matches before capping.</w:t>
      </w:r>
    </w:p>
    <w:p>
      <w:pPr>
        <w:pStyle w:val="Heading2"/>
      </w:pPr>
      <w:r>
        <w:t xml:space="preserve">C. Pipeline Reliability</w:t>
      </w:r>
    </w:p>
    <w:p>
      <w:pPr>
        <w:spacing w:after="70" w:line="240"/>
        <w:ind w:firstLine="288"/>
        <w:jc w:val="both"/>
      </w:pPr>
      <w:r>
        <w:rPr>
          <w:rFonts w:ascii="Times New Roman" w:cs="Times New Roman" w:eastAsia="Times New Roman" w:hAnsi="Times New Roman"/>
          <w:sz w:val="20"/>
          <w:szCs w:val="20"/>
        </w:rPr>
        <w:t xml:space="preserve">Of the 22 runs, 19 completed through the orchestrated path and three fell back to the single prompt; one of those fallbacks produced the placeholder described in Section IV-C. Within the 19 orchestrated runs, all five tools succeeded in 12, four in five, three in one and two in one, giving 85 successful tool calls out of 95 (89.5%). Table III breaks this down by tool.</w:t>
      </w:r>
    </w:p>
    <w:p>
      <w:pPr>
        <w:keepNext/>
        <w:spacing w:after="80" w:before="160"/>
        <w:jc w:val="center"/>
      </w:pPr>
      <w:r>
        <w:rPr>
          <w:rFonts w:ascii="Times New Roman" w:cs="Times New Roman" w:eastAsia="Times New Roman" w:hAnsi="Times New Roman"/>
          <w:sz w:val="16"/>
          <w:szCs w:val="16"/>
        </w:rPr>
        <w:t xml:space="preserve">TABLE III.  </w:t>
      </w:r>
      <w:r>
        <w:rPr>
          <w:rFonts w:ascii="Times New Roman" w:cs="Times New Roman" w:eastAsia="Times New Roman" w:hAnsi="Times New Roman"/>
          <w:smallCaps/>
          <w:sz w:val="16"/>
          <w:szCs w:val="16"/>
        </w:rPr>
        <w:t xml:space="preserve">Tool Outcomes Across 19 Orchestrated Runs</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2122"/>
        <w:gridCol w:w="900"/>
        <w:gridCol w:w="1000"/>
        <w:gridCol w:w="1000"/>
      </w:tblGrid>
      <w:tr>
        <w:trPr>
          <w:tblHeader/>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Tool</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Order</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Failures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Success</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ER generator</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89.5%</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Sequence generator</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100%</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API contract generator</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89.5%</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Architecture &amp; components</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4</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100%</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NFR &amp; deployment mapper</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5</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68.4%</w:t>
            </w:r>
          </w:p>
        </w:tc>
      </w:tr>
      <w:tr>
        <w:trPr>
          <w:cantSplit/>
        </w:trPr>
        <w:tc>
          <w:tcPr>
            <w:tcW w:type="dxa" w:w="21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bCs/>
                <w:sz w:val="16"/>
                <w:szCs w:val="16"/>
              </w:rPr>
              <w:t xml:space="preserve">All tools</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10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89.5%</w:t>
            </w:r>
          </w:p>
        </w:tc>
      </w:tr>
    </w:tbl>
    <w:p>
      <w:pPr>
        <w:spacing w:after="160" w:before="40"/>
        <w:jc w:val="left"/>
      </w:pPr>
      <w:r>
        <w:rPr>
          <w:rFonts w:ascii="Times New Roman" w:cs="Times New Roman" w:eastAsia="Times New Roman" w:hAnsi="Times New Roman"/>
          <w:sz w:val="16"/>
          <w:szCs w:val="16"/>
        </w:rPr>
        <w:t xml:space="preserve">Runs span several pipeline versions, including those before the fixes of Section IV.</w:t>
      </w:r>
    </w:p>
    <w:p>
      <w:pPr>
        <w:spacing w:after="70" w:line="240"/>
        <w:ind w:firstLine="288"/>
        <w:jc w:val="both"/>
      </w:pPr>
      <w:r>
        <w:rPr>
          <w:rFonts w:ascii="Times New Roman" w:cs="Times New Roman" w:eastAsia="Times New Roman" w:hAnsi="Times New Roman"/>
          <w:sz w:val="20"/>
          <w:szCs w:val="20"/>
        </w:rPr>
        <w:t xml:space="preserve">Failures cluster in the NFR and deployment mapper, which accounts for six of the ten. This tool runs last, when the rolling budget has already absorbed four calls, and it emits the most heterogeneous output: prose targets, environment lists and a diagram. Both factors plausibly contribute. Reordering the tools, or pausing before the final call, are inexpensive experiments we have not yet carried out.</w:t>
      </w:r>
    </w:p>
    <w:p>
      <w:pPr>
        <w:pStyle w:val="Heading2"/>
      </w:pPr>
      <w:r>
        <w:t xml:space="preserve">D. Traceability Threshold Calibration</w:t>
      </w:r>
    </w:p>
    <w:p>
      <w:pPr>
        <w:spacing w:after="70" w:line="240"/>
        <w:ind w:firstLine="288"/>
        <w:jc w:val="both"/>
      </w:pPr>
      <w:r>
        <w:rPr>
          <w:rFonts w:ascii="Times New Roman" w:cs="Times New Roman" w:eastAsia="Times New Roman" w:hAnsi="Times New Roman"/>
          <w:sz w:val="20"/>
          <w:szCs w:val="20"/>
        </w:rPr>
        <w:t xml:space="preserve">Choosing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requires pairs known to be related and pairs likely to be unrelated. The API contract generator records, for each endpoint, the FDD requirement it is meant to serve, which yields 24 requirement–endpoint pairs asserted by the model on the latest complete LMS run. We use these as positive pairs and draw 40 negative pairs by matching requirements with endpoints written for other requirements, using a fixed random seed. The requirement text is removed from the endpoint side before embedding so that positives are not simply matched to a copy of themselves.</w:t>
      </w:r>
    </w:p>
    <w:p>
      <w:pPr>
        <w:spacing w:after="70" w:line="240"/>
        <w:ind w:firstLine="288"/>
        <w:jc w:val="both"/>
      </w:pPr>
      <w:r>
        <w:rPr>
          <w:rFonts w:ascii="Times New Roman" w:cs="Times New Roman" w:eastAsia="Times New Roman" w:hAnsi="Times New Roman"/>
          <w:sz w:val="20"/>
          <w:szCs w:val="20"/>
        </w:rPr>
        <w:t xml:space="preserve">Positive pairs had a mean similarity of 0.663 (SD 0.124, range 0.380–0.848); negative pairs had a mean of 0.223 (SD 0.163, range 0.017–0.679). Table IV shows how many of each pass a range of thresholds.</w:t>
      </w:r>
    </w:p>
    <w:p>
      <w:pPr>
        <w:keepNext/>
        <w:spacing w:after="80" w:before="160"/>
        <w:jc w:val="center"/>
      </w:pPr>
      <w:r>
        <w:rPr>
          <w:rFonts w:ascii="Times New Roman" w:cs="Times New Roman" w:eastAsia="Times New Roman" w:hAnsi="Times New Roman"/>
          <w:sz w:val="16"/>
          <w:szCs w:val="16"/>
        </w:rPr>
        <w:t xml:space="preserve">TABLE IV.  </w:t>
      </w:r>
      <w:r>
        <w:rPr>
          <w:rFonts w:ascii="Times New Roman" w:cs="Times New Roman" w:eastAsia="Times New Roman" w:hAnsi="Times New Roman"/>
          <w:smallCaps/>
          <w:sz w:val="16"/>
          <w:szCs w:val="16"/>
        </w:rPr>
        <w:t xml:space="preserve">Pairs Passing Each Threshold</w:t>
      </w:r>
    </w:p>
    <w:tbl>
      <w:tblPr>
        <w:tblW w:type="dxa" w:w="5022"/>
        <w:tblBorders>
          <w:top w:val="single" w:color="auto" w:sz="4"/>
          <w:left w:val="single" w:color="auto" w:sz="4"/>
          <w:bottom w:val="single" w:color="auto" w:sz="4"/>
          <w:right w:val="single" w:color="auto" w:sz="4"/>
          <w:insideH w:val="single" w:color="auto" w:sz="4"/>
          <w:insideV w:val="single" w:color="auto" w:sz="4"/>
        </w:tblBorders>
      </w:tblPr>
      <w:tblGrid>
        <w:gridCol w:w="1222"/>
        <w:gridCol w:w="1900"/>
        <w:gridCol w:w="1900"/>
      </w:tblGrid>
      <w:tr>
        <w:trPr>
          <w:tblHeader/>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i/>
                <w:iCs/>
                <w:sz w:val="16"/>
                <w:szCs w:val="16"/>
              </w:rPr>
              <w:t xml:space="preserve">τ</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Positives kept (of 24)</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Negatives passed (of 40)</w:t>
            </w:r>
          </w:p>
        </w:tc>
      </w:tr>
      <w:tr>
        <w:trPr>
          <w:cantSplit/>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0.35</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24</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5</w:t>
            </w:r>
          </w:p>
        </w:tc>
      </w:tr>
      <w:tr>
        <w:trPr>
          <w:cantSplit/>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bCs/>
                <w:sz w:val="16"/>
                <w:szCs w:val="16"/>
              </w:rPr>
              <w:t xml:space="preserve">0.40</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22</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bCs/>
                <w:sz w:val="16"/>
                <w:szCs w:val="16"/>
              </w:rPr>
              <w:t xml:space="preserve">5</w:t>
            </w:r>
          </w:p>
        </w:tc>
      </w:tr>
      <w:tr>
        <w:trPr>
          <w:cantSplit/>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0.45</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22</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4</w:t>
            </w:r>
          </w:p>
        </w:tc>
      </w:tr>
      <w:tr>
        <w:trPr>
          <w:cantSplit/>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left"/>
            </w:pPr>
            <w:r>
              <w:rPr>
                <w:rFonts w:ascii="Times New Roman" w:cs="Times New Roman" w:eastAsia="Times New Roman" w:hAnsi="Times New Roman"/>
                <w:b w:val="false"/>
                <w:bCs w:val="false"/>
                <w:sz w:val="16"/>
                <w:szCs w:val="16"/>
              </w:rPr>
              <w:t xml:space="preserve">0.50</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20</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jc w:val="center"/>
            </w:pPr>
            <w:r>
              <w:rPr>
                <w:rFonts w:ascii="Times New Roman" w:cs="Times New Roman" w:eastAsia="Times New Roman" w:hAnsi="Times New Roman"/>
                <w:b w:val="false"/>
                <w:bCs w:val="false"/>
                <w:sz w:val="16"/>
                <w:szCs w:val="16"/>
              </w:rPr>
              <w:t xml:space="preserve">3</w:t>
            </w:r>
          </w:p>
        </w:tc>
      </w:tr>
      <w:tr>
        <w:trPr>
          <w:cantSplit/>
        </w:trPr>
        <w:tc>
          <w:tcPr>
            <w:tcW w:type="dxa" w:w="12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left"/>
            </w:pPr>
            <w:r>
              <w:rPr>
                <w:rFonts w:ascii="Times New Roman" w:cs="Times New Roman" w:eastAsia="Times New Roman" w:hAnsi="Times New Roman"/>
                <w:b w:val="false"/>
                <w:bCs w:val="false"/>
                <w:sz w:val="16"/>
                <w:szCs w:val="16"/>
              </w:rPr>
              <w:t xml:space="preserve">0.58</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19</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keepNext w:val="false"/>
              <w:jc w:val="center"/>
            </w:pPr>
            <w:r>
              <w:rPr>
                <w:rFonts w:ascii="Times New Roman" w:cs="Times New Roman" w:eastAsia="Times New Roman" w:hAnsi="Times New Roman"/>
                <w:b w:val="false"/>
                <w:bCs w:val="false"/>
                <w:sz w:val="16"/>
                <w:szCs w:val="16"/>
              </w:rPr>
              <w:t xml:space="preserve">2</w:t>
            </w:r>
          </w:p>
        </w:tc>
      </w:tr>
    </w:tbl>
    <w:p>
      <w:pPr>
        <w:spacing w:after="160" w:before="40"/>
        <w:jc w:val="left"/>
      </w:pPr>
      <w:r>
        <w:rPr>
          <w:rFonts w:ascii="Times New Roman" w:cs="Times New Roman" w:eastAsia="Times New Roman" w:hAnsi="Times New Roman"/>
          <w:sz w:val="16"/>
          <w:szCs w:val="16"/>
        </w:rPr>
        <w:t xml:space="preserve">Positives: model-asserted requirement–endpoint links; negatives: random cross pairs (fixed seed).</w:t>
      </w:r>
    </w:p>
    <w:p>
      <w:pPr>
        <w:spacing w:after="70" w:line="240"/>
        <w:ind w:firstLine="288"/>
        <w:jc w:val="both"/>
      </w:pPr>
      <w:r>
        <w:rPr>
          <w:rFonts w:ascii="Times New Roman" w:cs="Times New Roman" w:eastAsia="Times New Roman" w:hAnsi="Times New Roman"/>
          <w:sz w:val="20"/>
          <w:szCs w:val="20"/>
        </w:rPr>
        <w:t xml:space="preserve">The threshold was reached in steps. An initial value of 0.35 was chosen by intuition; on an earlier ELMS run, unrelated pairs averaged 0.349, which made that value almost meaningless. We then tried 0.58, just above the highest unrelated score observed there, but it discarded genuine links; in particular, short table names such as </w:t>
      </w:r>
      <w:r>
        <w:rPr>
          <w:rFonts w:ascii="Courier New" w:cs="Courier New" w:eastAsia="Courier New" w:hAnsi="Courier New"/>
          <w:sz w:val="18"/>
          <w:szCs w:val="18"/>
        </w:rPr>
        <w:t xml:space="preserve">leave_types</w:t>
      </w:r>
      <w:r>
        <w:rPr>
          <w:rFonts w:ascii="Times New Roman" w:cs="Times New Roman" w:eastAsia="Times New Roman" w:hAnsi="Times New Roman"/>
          <w:sz w:val="20"/>
          <w:szCs w:val="20"/>
        </w:rPr>
        <w:t xml:space="preserve"> score low against a full requirement sentence even when they are the correct match. On the present data, 0.40 keeps 91.7% of positives while admitting 12.5% of negatives. Raising it to 0.45 would admit one fewer negative at no cost in positives on these endpoint pairs, but we retained 0.40 because table and component names, being much shorter than endpoint descriptions, systematically score lower than the pairs measured here. Some high-scoring negatives are not errors at all: different requirements often concern the same entity, so an endpoint written for one can legitimately serve another.</w:t>
      </w:r>
    </w:p>
    <w:p>
      <w:pPr>
        <w:pStyle w:val="Heading2"/>
      </w:pPr>
      <w:r>
        <w:t xml:space="preserve">E. Semantic Versus Keyword Matching</w:t>
      </w:r>
    </w:p>
    <w:p>
      <w:pPr>
        <w:spacing w:after="70" w:line="240"/>
        <w:ind w:firstLine="288"/>
        <w:jc w:val="both"/>
      </w:pPr>
      <w:r>
        <w:rPr>
          <w:rFonts w:ascii="Times New Roman" w:cs="Times New Roman" w:eastAsia="Times New Roman" w:hAnsi="Times New Roman"/>
          <w:sz w:val="20"/>
          <w:szCs w:val="20"/>
        </w:rPr>
        <w:t xml:space="preserve">On the same run we rebuilt the matrix with the keyword fallback. Keyword matching labeled 30 of 31 rows as fully covered and produced 207 links; semantic matching labeled 26 of 32 rows as fully covered and produced 148 links. The additional row is a feature that keyword matching had judged to duplicate a requirement.</w:t>
      </w:r>
    </w:p>
    <w:p>
      <w:pPr>
        <w:spacing w:after="70" w:line="240"/>
        <w:ind w:firstLine="288"/>
        <w:jc w:val="both"/>
      </w:pPr>
      <w:r>
        <w:rPr>
          <w:rFonts w:ascii="Times New Roman" w:cs="Times New Roman" w:eastAsia="Times New Roman" w:hAnsi="Times New Roman"/>
          <w:sz w:val="20"/>
          <w:szCs w:val="20"/>
        </w:rPr>
        <w:t xml:space="preserve">The four requirements that semantic matching left uncovered were all non-functional: supporting 50,000 concurrent users, an availability target, responsive access on mobile devices, and deployment on AWS. Keyword matching had linked each of them to the registration and login endpoints, on no stronger basis than shared words such as “system” and “users”. Links of this kind make a matrix look complete while telling the reviewer nothing, which defeats its purpose. We therefore read the uncovered rows as items that deserve a reviewer’s attention, since such requirements are realized by infrastructure and configuration rather than by an endpoint, not as matcher failures. A full precision and recall figure would require a human-labeled gold standard, which we have not yet built.</w:t>
      </w:r>
    </w:p>
    <w:p>
      <w:pPr>
        <w:pStyle w:val="Heading1"/>
      </w:pPr>
      <w:r>
        <w:t xml:space="preserve">VI. Discussion and Limitations</w:t>
      </w:r>
    </w:p>
    <w:p>
      <w:pPr>
        <w:spacing w:after="100"/>
        <w:ind w:firstLine="288"/>
        <w:jc w:val="both"/>
      </w:pPr>
      <w:r>
        <w:rPr>
          <w:rFonts w:ascii="Times New Roman" w:cs="Times New Roman" w:eastAsia="Times New Roman" w:hAnsi="Times New Roman"/>
          <w:i/>
          <w:iCs/>
          <w:sz w:val="20"/>
          <w:szCs w:val="20"/>
        </w:rPr>
        <w:t xml:space="preserve">1) Scale and control of the evaluation: </w:t>
      </w:r>
      <w:r>
        <w:rPr>
          <w:rFonts w:ascii="Times New Roman" w:cs="Times New Roman" w:eastAsia="Times New Roman" w:hAnsi="Times New Roman"/>
          <w:sz w:val="20"/>
          <w:szCs w:val="20"/>
        </w:rPr>
        <w:t xml:space="preserve">The operational data covers two distinct FDDs and runs collected across evolving versions of the pipeline. It shows where the system fails and how often, but it is not a controlled comparison, and results may not transfer to FDDs from other domains or with different writing conventions.</w:t>
      </w:r>
    </w:p>
    <w:p>
      <w:pPr>
        <w:spacing w:after="100"/>
        <w:ind w:firstLine="288"/>
        <w:jc w:val="both"/>
      </w:pPr>
      <w:r>
        <w:rPr>
          <w:rFonts w:ascii="Times New Roman" w:cs="Times New Roman" w:eastAsia="Times New Roman" w:hAnsi="Times New Roman"/>
          <w:i/>
          <w:iCs/>
          <w:sz w:val="20"/>
          <w:szCs w:val="20"/>
        </w:rPr>
        <w:t xml:space="preserve">2) Silver-standard positives: </w:t>
      </w:r>
      <w:r>
        <w:rPr>
          <w:rFonts w:ascii="Times New Roman" w:cs="Times New Roman" w:eastAsia="Times New Roman" w:hAnsi="Times New Roman"/>
          <w:sz w:val="20"/>
          <w:szCs w:val="20"/>
        </w:rPr>
        <w:t xml:space="preserve">The positive pairs used for calibration are links asserted by the generator itself. They are a reasonable proxy, since the model wrote each endpoint for the stated requirement, but they are not independent ground truth, and the quality of the generated design has not been scored by expert reviewers.</w:t>
      </w:r>
    </w:p>
    <w:p>
      <w:pPr>
        <w:spacing w:after="100"/>
        <w:ind w:firstLine="288"/>
        <w:jc w:val="both"/>
      </w:pPr>
      <w:r>
        <w:rPr>
          <w:rFonts w:ascii="Times New Roman" w:cs="Times New Roman" w:eastAsia="Times New Roman" w:hAnsi="Times New Roman"/>
          <w:i/>
          <w:iCs/>
          <w:sz w:val="20"/>
          <w:szCs w:val="20"/>
        </w:rPr>
        <w:t xml:space="preserve">3) Extraction defects: </w:t>
      </w:r>
      <w:r>
        <w:rPr>
          <w:rFonts w:ascii="Times New Roman" w:cs="Times New Roman" w:eastAsia="Times New Roman" w:hAnsi="Times New Roman"/>
          <w:sz w:val="20"/>
          <w:szCs w:val="20"/>
        </w:rPr>
        <w:t xml:space="preserve">Inspection of the traceability output exposed two faults in the rule-based extractor. Sentence splitting on periods truncates decimal figures, so an availability requirement of 99.9% uptime survives only as “The system shall have 99.”, and heading fragments are occasionally captured as features. The extractor also files some non-functional requirements under the functional list. These faults degrade prompts and matrix rows but are local and straightforward to fix.</w:t>
      </w:r>
    </w:p>
    <w:p>
      <w:pPr>
        <w:spacing w:after="100"/>
        <w:ind w:firstLine="288"/>
        <w:jc w:val="both"/>
      </w:pPr>
      <w:r>
        <w:rPr>
          <w:rFonts w:ascii="Times New Roman" w:cs="Times New Roman" w:eastAsia="Times New Roman" w:hAnsi="Times New Roman"/>
          <w:i/>
          <w:iCs/>
          <w:sz w:val="20"/>
          <w:szCs w:val="20"/>
        </w:rPr>
        <w:t xml:space="preserve">4) One-directional traceability: </w:t>
      </w:r>
      <w:r>
        <w:rPr>
          <w:rFonts w:ascii="Times New Roman" w:cs="Times New Roman" w:eastAsia="Times New Roman" w:hAnsi="Times New Roman"/>
          <w:sz w:val="20"/>
          <w:szCs w:val="20"/>
        </w:rPr>
        <w:t xml:space="preserve">The matrix checks that every requirement leads to some artifact. It does not flag the reverse case, generated endpoints or tables that no requirement asked for, which is where hallucinated design elements would appear. Adding this backward check requires no new model calls.</w:t>
      </w:r>
    </w:p>
    <w:p>
      <w:pPr>
        <w:spacing w:after="100"/>
        <w:ind w:firstLine="288"/>
        <w:jc w:val="both"/>
      </w:pPr>
      <w:r>
        <w:rPr>
          <w:rFonts w:ascii="Times New Roman" w:cs="Times New Roman" w:eastAsia="Times New Roman" w:hAnsi="Times New Roman"/>
          <w:i/>
          <w:iCs/>
          <w:sz w:val="20"/>
          <w:szCs w:val="20"/>
        </w:rPr>
        <w:t xml:space="preserve">5) Dependence on a hosted free tier: </w:t>
      </w:r>
      <w:r>
        <w:rPr>
          <w:rFonts w:ascii="Times New Roman" w:cs="Times New Roman" w:eastAsia="Times New Roman" w:hAnsi="Times New Roman"/>
          <w:sz w:val="20"/>
          <w:szCs w:val="20"/>
        </w:rPr>
        <w:t xml:space="preserve">During development the model we started with was withdrawn by the provider, forcing a migration and a re-tuning of token limits. Free hosted models can change without notice, and sending an FDD to a third-party service may be unacceptable for confidential projects; a self-hosted open-weight model would address both concerns at the cost of hardware.</w:t>
      </w:r>
    </w:p>
    <w:p>
      <w:pPr>
        <w:pStyle w:val="Heading1"/>
      </w:pPr>
      <w:r>
        <w:t xml:space="preserve">VII. Conclusion and Future Work</w:t>
      </w:r>
    </w:p>
    <w:p>
      <w:pPr>
        <w:spacing w:after="70" w:line="240"/>
        <w:ind w:firstLine="288"/>
        <w:jc w:val="both"/>
      </w:pPr>
      <w:r>
        <w:rPr>
          <w:rFonts w:ascii="Times New Roman" w:cs="Times New Roman" w:eastAsia="Times New Roman" w:hAnsi="Times New Roman"/>
          <w:sz w:val="20"/>
          <w:szCs w:val="20"/>
        </w:rPr>
        <w:t xml:space="preserve">We have presented a system that converts a Functional Design Document into a structured Technical Design Document and, in the same pass, produces a semantic traceability matrix that shows which parts of the design answer which requirements. Splitting generation into five focused tool calls, each with retrieved context and independent failure handling, made generation workable on a free inference tier, and the measurements reported here show that the operational details of sequential scheduling, fault isolation and reasoning-token control mattered as much as prompt design. Calibrating the traceability threshold against measured similarity distributions, instead of choosing it by intuition, produced a matrix that withholds links from requirements the design does not actually address, which is exactly what a reviewer needs to see.</w:t>
      </w:r>
    </w:p>
    <w:p>
      <w:pPr>
        <w:spacing w:after="70" w:line="240"/>
        <w:ind w:firstLine="288"/>
        <w:jc w:val="both"/>
      </w:pPr>
      <w:r>
        <w:rPr>
          <w:rFonts w:ascii="Times New Roman" w:cs="Times New Roman" w:eastAsia="Times New Roman" w:hAnsi="Times New Roman"/>
          <w:sz w:val="20"/>
          <w:szCs w:val="20"/>
        </w:rPr>
        <w:t xml:space="preserve">Future work will fix the extraction defects noted above, add backward traceability to flag design elements with no originating requirement, build a human-labeled link set for proper precision and recall measurement, and evaluate design quality with practitioner reviewers. A higher-throughput inference tier would allow concurrent tool execution, and comparing successive TDD versions as an FDD evolves would extend the system from one-off generation to ongoing change management.</w:t>
      </w:r>
    </w:p>
    <w:p>
      <w:pPr>
        <w:pStyle w:val="Heading5"/>
      </w:pPr>
      <w:r>
        <w:t xml:space="preserve">Acknowledgment</w:t>
      </w:r>
    </w:p>
    <w:p>
      <w:pPr>
        <w:spacing w:after="70" w:line="240"/>
        <w:ind w:firstLine="288"/>
        <w:jc w:val="both"/>
      </w:pPr>
      <w:r>
        <w:rPr>
          <w:rFonts w:ascii="Times New Roman" w:cs="Times New Roman" w:eastAsia="Times New Roman" w:hAnsi="Times New Roman"/>
          <w:sz w:val="20"/>
          <w:szCs w:val="20"/>
        </w:rPr>
        <w:t xml:space="preserve">The authors thank [Guide Name], Department of Computer Science and Engineering, [College Name], for guidance and feedback throughout this project.</w:t>
      </w:r>
    </w:p>
    <w:p>
      <w:pPr>
        <w:pStyle w:val="Heading5"/>
      </w:pPr>
      <w:r>
        <w:t xml:space="preserve">References</w:t>
      </w:r>
    </w:p>
    <w:p>
      <w:pPr>
        <w:tabs>
          <w:tab w:val="left" w:pos="400"/>
        </w:tabs>
        <w:spacing w:after="40"/>
        <w:ind w:left="400" w:hanging="40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O. C. Z. Gotel and A. C. W. Finkelstein, “An analysis of the requirements traceability problem,” in </w:t>
      </w:r>
      <w:r>
        <w:rPr>
          <w:rFonts w:ascii="Times New Roman" w:cs="Times New Roman" w:eastAsia="Times New Roman" w:hAnsi="Times New Roman"/>
          <w:i/>
          <w:iCs/>
          <w:sz w:val="16"/>
          <w:szCs w:val="16"/>
        </w:rPr>
        <w:t xml:space="preserve">Proc. 1st Int. Conf. Requirements Eng. (ICRE)</w:t>
      </w:r>
      <w:r>
        <w:rPr>
          <w:rFonts w:ascii="Times New Roman" w:cs="Times New Roman" w:eastAsia="Times New Roman" w:hAnsi="Times New Roman"/>
          <w:sz w:val="16"/>
          <w:szCs w:val="16"/>
        </w:rPr>
        <w:t xml:space="preserve">, Colorado Springs, CO, USA, 1994, pp. 94–101.</w:t>
      </w:r>
    </w:p>
    <w:p>
      <w:pPr>
        <w:tabs>
          <w:tab w:val="left" w:pos="400"/>
        </w:tabs>
        <w:spacing w:after="40"/>
        <w:ind w:left="400" w:hanging="40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Cleland-Huang, O. C. Z. Gotel, J. Huffman Hayes, P. Mäder, and A. Zisman, “Software traceability: Trends and future directions,” in </w:t>
      </w:r>
      <w:r>
        <w:rPr>
          <w:rFonts w:ascii="Times New Roman" w:cs="Times New Roman" w:eastAsia="Times New Roman" w:hAnsi="Times New Roman"/>
          <w:i/>
          <w:iCs/>
          <w:sz w:val="16"/>
          <w:szCs w:val="16"/>
        </w:rPr>
        <w:t xml:space="preserve">Proc. Future of Software Engineering (FOSE)</w:t>
      </w:r>
      <w:r>
        <w:rPr>
          <w:rFonts w:ascii="Times New Roman" w:cs="Times New Roman" w:eastAsia="Times New Roman" w:hAnsi="Times New Roman"/>
          <w:sz w:val="16"/>
          <w:szCs w:val="16"/>
        </w:rPr>
        <w:t xml:space="preserve">, Hyderabad, India, 2014, pp. 55–69.</w:t>
      </w:r>
    </w:p>
    <w:p>
      <w:pPr>
        <w:tabs>
          <w:tab w:val="left" w:pos="400"/>
        </w:tabs>
        <w:spacing w:after="40"/>
        <w:ind w:left="400" w:hanging="40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B. Brown et al., “Language models are few-shot learners,”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33, 2020, pp. 1877–1901.</w:t>
      </w:r>
    </w:p>
    <w:p>
      <w:pPr>
        <w:tabs>
          <w:tab w:val="left" w:pos="400"/>
        </w:tabs>
        <w:spacing w:after="40"/>
        <w:ind w:left="400" w:hanging="40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L. Ouyang et al., “Training language models to follow instructions with human feedback,”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35, 2022, pp. 27730–27744.</w:t>
      </w:r>
    </w:p>
    <w:p>
      <w:pPr>
        <w:tabs>
          <w:tab w:val="left" w:pos="400"/>
        </w:tabs>
        <w:spacing w:after="40"/>
        <w:ind w:left="400" w:hanging="40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X. Hou et al., “Large language models for software engineering: A systematic literature review,” </w:t>
      </w:r>
      <w:r>
        <w:rPr>
          <w:rFonts w:ascii="Times New Roman" w:cs="Times New Roman" w:eastAsia="Times New Roman" w:hAnsi="Times New Roman"/>
          <w:i/>
          <w:iCs/>
          <w:sz w:val="16"/>
          <w:szCs w:val="16"/>
        </w:rPr>
        <w:t xml:space="preserve">ACM Trans. Softw. Eng. Methodol.</w:t>
      </w:r>
      <w:r>
        <w:rPr>
          <w:rFonts w:ascii="Times New Roman" w:cs="Times New Roman" w:eastAsia="Times New Roman" w:hAnsi="Times New Roman"/>
          <w:sz w:val="16"/>
          <w:szCs w:val="16"/>
        </w:rPr>
        <w:t xml:space="preserve">, vol. 33, no. 8, 2024.</w:t>
      </w:r>
    </w:p>
    <w:p>
      <w:pPr>
        <w:tabs>
          <w:tab w:val="left" w:pos="400"/>
        </w:tabs>
        <w:spacing w:after="40"/>
        <w:ind w:left="400" w:hanging="40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G. Antoniol, G. Canfora, G. Casazza, A. De Lucia, and E. Merlo, “Recovering traceability links between code and documentation,”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28, no. 10, pp. 970–983, Oct. 2002.</w:t>
      </w:r>
    </w:p>
    <w:p>
      <w:pPr>
        <w:tabs>
          <w:tab w:val="left" w:pos="400"/>
        </w:tabs>
        <w:spacing w:after="40"/>
        <w:ind w:left="400" w:hanging="40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Marcus and J. I. Maletic, “Recovering documentation-to-source-code traceability links using latent semantic indexing,” in </w:t>
      </w:r>
      <w:r>
        <w:rPr>
          <w:rFonts w:ascii="Times New Roman" w:cs="Times New Roman" w:eastAsia="Times New Roman" w:hAnsi="Times New Roman"/>
          <w:i/>
          <w:iCs/>
          <w:sz w:val="16"/>
          <w:szCs w:val="16"/>
        </w:rPr>
        <w:t xml:space="preserve">Proc. 25th Int. Conf. Softw. Eng. (ICSE)</w:t>
      </w:r>
      <w:r>
        <w:rPr>
          <w:rFonts w:ascii="Times New Roman" w:cs="Times New Roman" w:eastAsia="Times New Roman" w:hAnsi="Times New Roman"/>
          <w:sz w:val="16"/>
          <w:szCs w:val="16"/>
        </w:rPr>
        <w:t xml:space="preserve">, Portland, OR, USA, 2003, pp. 125–135.</w:t>
      </w:r>
    </w:p>
    <w:p>
      <w:pPr>
        <w:tabs>
          <w:tab w:val="left" w:pos="400"/>
        </w:tabs>
        <w:spacing w:after="40"/>
        <w:ind w:left="400" w:hanging="40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Guo, J. Cheng, and J. Cleland-Huang, “Semantically enhanced software traceability using deep learning techniques,” in </w:t>
      </w:r>
      <w:r>
        <w:rPr>
          <w:rFonts w:ascii="Times New Roman" w:cs="Times New Roman" w:eastAsia="Times New Roman" w:hAnsi="Times New Roman"/>
          <w:i/>
          <w:iCs/>
          <w:sz w:val="16"/>
          <w:szCs w:val="16"/>
        </w:rPr>
        <w:t xml:space="preserve">Proc. 39th Int. Conf. Softw. Eng. (ICSE)</w:t>
      </w:r>
      <w:r>
        <w:rPr>
          <w:rFonts w:ascii="Times New Roman" w:cs="Times New Roman" w:eastAsia="Times New Roman" w:hAnsi="Times New Roman"/>
          <w:sz w:val="16"/>
          <w:szCs w:val="16"/>
        </w:rPr>
        <w:t xml:space="preserve">, Buenos Aires, Argentina, 2017, pp. 3–14.</w:t>
      </w:r>
    </w:p>
    <w:p>
      <w:pPr>
        <w:tabs>
          <w:tab w:val="left" w:pos="400"/>
        </w:tabs>
        <w:spacing w:after="40"/>
        <w:ind w:left="400" w:hanging="40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Lin, Y. Liu, Q. Zeng, M. Jiang, and J. Cleland-Huang, “Traceability transformed: Generating more accurate links with pre-trained BERT models,” in </w:t>
      </w:r>
      <w:r>
        <w:rPr>
          <w:rFonts w:ascii="Times New Roman" w:cs="Times New Roman" w:eastAsia="Times New Roman" w:hAnsi="Times New Roman"/>
          <w:i/>
          <w:iCs/>
          <w:sz w:val="16"/>
          <w:szCs w:val="16"/>
        </w:rPr>
        <w:t xml:space="preserve">Proc. 43rd Int. Conf. Softw. Eng. (ICSE)</w:t>
      </w:r>
      <w:r>
        <w:rPr>
          <w:rFonts w:ascii="Times New Roman" w:cs="Times New Roman" w:eastAsia="Times New Roman" w:hAnsi="Times New Roman"/>
          <w:sz w:val="16"/>
          <w:szCs w:val="16"/>
        </w:rPr>
        <w:t xml:space="preserve">, 2021, pp. 324–335.</w:t>
      </w:r>
    </w:p>
    <w:p>
      <w:pPr>
        <w:tabs>
          <w:tab w:val="left" w:pos="400"/>
        </w:tabs>
        <w:spacing w:after="40"/>
        <w:ind w:left="400" w:hanging="40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Vaswani et al., “Attention is all you need,”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30, 2017, pp. 5998–6008.</w:t>
      </w:r>
    </w:p>
    <w:p>
      <w:pPr>
        <w:tabs>
          <w:tab w:val="left" w:pos="400"/>
        </w:tabs>
        <w:spacing w:after="40"/>
        <w:ind w:left="400" w:hanging="40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Devlin, M.-W. Chang, K. Lee, and K. Toutanova, “BERT: Pre-training of deep bidirectional transformers for language understanding,”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Minneapolis, MN, USA, 2019, pp. 4171–4186.</w:t>
      </w:r>
    </w:p>
    <w:p>
      <w:pPr>
        <w:tabs>
          <w:tab w:val="left" w:pos="400"/>
        </w:tabs>
        <w:spacing w:after="40"/>
        <w:ind w:left="400" w:hanging="40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Chen et al., “Evaluating large language models trained on code,” arXiv:2107.03374, 2021.</w:t>
      </w:r>
    </w:p>
    <w:p>
      <w:pPr>
        <w:tabs>
          <w:tab w:val="left" w:pos="400"/>
        </w:tabs>
        <w:spacing w:after="40"/>
        <w:ind w:left="400" w:hanging="40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Liu, W. Yuan, J. Fu, Z. Jiang, H. Hayashi, and G. Neubig, “Pre-train, prompt, and predict: A systematic survey of prompting methods in natural language processing,”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9, 2023.</w:t>
      </w:r>
    </w:p>
    <w:p>
      <w:pPr>
        <w:tabs>
          <w:tab w:val="left" w:pos="400"/>
        </w:tabs>
        <w:spacing w:after="40"/>
        <w:ind w:left="400" w:hanging="40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Z. Ji et al.,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2023.</w:t>
      </w:r>
    </w:p>
    <w:p>
      <w:pPr>
        <w:tabs>
          <w:tab w:val="left" w:pos="400"/>
        </w:tabs>
        <w:spacing w:after="40"/>
        <w:ind w:left="400" w:hanging="40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Lewis et al., “Retrieval-augmented generation for knowledge-intensive NLP tasks,”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33, 2020, pp. 9459–9474.</w:t>
      </w:r>
    </w:p>
    <w:p>
      <w:pPr>
        <w:tabs>
          <w:tab w:val="left" w:pos="400"/>
        </w:tabs>
        <w:spacing w:after="40"/>
        <w:ind w:left="400" w:hanging="400"/>
        <w:jc w:val="both"/>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N. Reimers and I. Gurevych, “Sentence-BERT: Sentence embeddings using Siamese BERT-networks,” in </w:t>
      </w:r>
      <w:r>
        <w:rPr>
          <w:rFonts w:ascii="Times New Roman" w:cs="Times New Roman" w:eastAsia="Times New Roman" w:hAnsi="Times New Roman"/>
          <w:i/>
          <w:iCs/>
          <w:sz w:val="16"/>
          <w:szCs w:val="16"/>
        </w:rPr>
        <w:t xml:space="preserve">Proc. EMNLP-IJCNLP</w:t>
      </w:r>
      <w:r>
        <w:rPr>
          <w:rFonts w:ascii="Times New Roman" w:cs="Times New Roman" w:eastAsia="Times New Roman" w:hAnsi="Times New Roman"/>
          <w:sz w:val="16"/>
          <w:szCs w:val="16"/>
        </w:rPr>
        <w:t xml:space="preserve">, Hong Kong, China, 2019, pp. 3982–3992.</w:t>
      </w:r>
    </w:p>
    <w:p>
      <w:pPr>
        <w:tabs>
          <w:tab w:val="left" w:pos="400"/>
        </w:tabs>
        <w:spacing w:after="40"/>
        <w:ind w:left="400" w:hanging="400"/>
        <w:jc w:val="both"/>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W. Wang, F. Wei, L. Dong, H. Bao, N. Yang, and M. Zhou, “MiniLM: Deep self-attention distillation for task-agnostic compression of pre-trained transformers,”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33, 2020, pp. 5776–5788.</w:t>
      </w:r>
    </w:p>
    <w:p>
      <w:pPr>
        <w:tabs>
          <w:tab w:val="left" w:pos="400"/>
        </w:tabs>
        <w:spacing w:after="40"/>
        <w:ind w:left="400" w:hanging="400"/>
        <w:jc w:val="both"/>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Yao et al., “ReAct: Synergizing reasoning and acting in language models,”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2023.</w:t>
      </w:r>
    </w:p>
    <w:p>
      <w:pPr>
        <w:tabs>
          <w:tab w:val="left" w:pos="400"/>
        </w:tabs>
        <w:spacing w:after="40"/>
        <w:ind w:left="400" w:hanging="400"/>
        <w:jc w:val="both"/>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Schick et al., “Toolformer: Language models can teach themselves to use tools,”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36, 2023.</w:t>
      </w:r>
    </w:p>
    <w:p>
      <w:pPr>
        <w:tabs>
          <w:tab w:val="left" w:pos="400"/>
        </w:tabs>
        <w:spacing w:after="40"/>
        <w:ind w:left="400" w:hanging="400"/>
        <w:jc w:val="both"/>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Anthropic, “Model Context Protocol specification,” 2024. [Online]. Available: https://modelcontextprotocol.io</w:t>
      </w:r>
    </w:p>
    <w:p>
      <w:pPr>
        <w:tabs>
          <w:tab w:val="left" w:pos="400"/>
        </w:tabs>
        <w:spacing w:after="40"/>
        <w:ind w:left="400" w:hanging="400"/>
        <w:jc w:val="both"/>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Mermaid, “Mermaid: Diagramming and charting tool,” 2025. [Online]. Available: https://mermaid.js.org</w:t>
      </w:r>
    </w:p>
    <w:p>
      <w:pPr>
        <w:tabs>
          <w:tab w:val="left" w:pos="400"/>
        </w:tabs>
        <w:spacing w:after="40"/>
        <w:ind w:left="400" w:hanging="400"/>
        <w:jc w:val="both"/>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OpenAI, “gpt-oss-120b &amp; gpt-oss-20b model card,” Aug. 2025.</w:t>
      </w:r>
    </w:p>
    <w:p>
      <w:pPr>
        <w:tabs>
          <w:tab w:val="left" w:pos="400"/>
        </w:tabs>
        <w:spacing w:after="40"/>
        <w:ind w:left="400" w:hanging="400"/>
        <w:jc w:val="both"/>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Groq, “GroqCloud documentation,” 2025. [Online]. Available: https://console.groq.com/docs</w:t>
      </w:r>
    </w:p>
    <w:p>
      <w:pPr>
        <w:sectPr>
          <w:type w:val="continuous"/>
          <w:pgSz w:w="11906" w:h="16838" w:orient="portrait"/>
          <w:pgMar w:top="1077" w:right="811" w:bottom="2438" w:left="811" w:header="708" w:footer="708" w:gutter="0"/>
          <w:pgNumType/>
          <w:cols w:space="239" w:num="2" w:equalWidth="true"/>
          <w:docGrid w:linePitch="360"/>
        </w:sectPr>
      </w:pPr>
    </w:p>
    <w:p/>
    <w:sectPr>
      <w:type w:val="continuous"/>
      <w:pgSz w:w="11906" w:h="16838" w:orient="portrait"/>
      <w:pgMar w:top="1077" w:right="811" w:bottom="2438" w:left="81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after="60" w:before="120"/>
      <w:jc w:val="left"/>
      <w:outlineLvl w:val="1"/>
    </w:pPr>
    <w:rPr>
      <w:rFonts w:ascii="Times New Roman" w:cs="Times New Roman" w:eastAsia="Times New Roman" w:hAnsi="Times New Roman"/>
      <w:b w:val="false"/>
      <w:bCs w:val="false"/>
      <w:i/>
      <w:iCs/>
      <w:color w:val="000000"/>
      <w:sz w:val="20"/>
      <w:szCs w:val="20"/>
    </w:rPr>
  </w:style>
  <w:style w:type="paragraph" w:styleId="Heading5">
    <w:name w:val="Heading 5"/>
    <w:basedOn w:val="Normal"/>
    <w:next w:val="Normal"/>
    <w:qFormat/>
    <w:pPr>
      <w:keepNext/>
      <w:spacing w:after="100" w:before="200"/>
      <w:jc w:val="center"/>
      <w:outlineLvl w:val="4"/>
    </w:pPr>
    <w:rPr>
      <w:rFonts w:ascii="Times New Roman" w:cs="Times New Roman" w:eastAsia="Times New Roman" w:hAnsi="Times New Roman"/>
      <w:b w:val="false"/>
      <w:bCs w:val="false"/>
      <w:smallCap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2952d3353e1056d8d116c4c12f2da83ca7632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Traceable Generation of Technical Design Documents from Functional Specifications Using Orchestrated LLM Tools</dc:title>
  <dc:creator>Garv Bhalla</dc:creator>
  <cp:lastModifiedBy>Un-named</cp:lastModifiedBy>
  <cp:revision>1</cp:revision>
  <dcterms:created xsi:type="dcterms:W3CDTF">2026-09-28T09:44:00.201Z</dcterms:created>
  <dcterms:modified xsi:type="dcterms:W3CDTF">2026-09-28T09:44:00.201Z</dcterms:modified>
</cp:coreProperties>
</file>

<file path=docProps/custom.xml><?xml version="1.0" encoding="utf-8"?>
<Properties xmlns="http://schemas.openxmlformats.org/officeDocument/2006/custom-properties" xmlns:vt="http://schemas.openxmlformats.org/officeDocument/2006/docPropsVTypes"/>
</file>