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000000"/>
          <w:sz w:val="56"/>
          <w:szCs w:val="56"/>
        </w:rPr>
        <w:t xml:space="preserve">PROJECT SYNOPSIS</w:t>
      </w:r>
    </w:p>
    <w:p>
      <w:pPr>
        <w:spacing w:before="300"/>
        <w:jc w:val="center"/>
      </w:pPr>
      <w:r>
        <w:rPr>
          <w:b/>
          <w:bCs/>
          <w:sz w:val="36"/>
          <w:szCs w:val="36"/>
        </w:rPr>
        <w:t xml:space="preserve">FDD-to-TDD Converter</w:t>
      </w:r>
    </w:p>
    <w:p>
      <w:pPr>
        <w:spacing w:before="120"/>
        <w:jc w:val="center"/>
      </w:pPr>
      <w:r>
        <w:rPr>
          <w:i/>
          <w:iCs/>
          <w:color w:val="000000"/>
          <w:sz w:val="24"/>
          <w:szCs w:val="24"/>
        </w:rPr>
        <w:t xml:space="preserve">An AI-Powered System for Automated Technical Design Document Generation</w:t>
      </w:r>
    </w:p>
    <w:p>
      <w:pPr>
        <w:spacing w:before="900"/>
      </w:pPr>
    </w:p>
    <w:tbl>
      <w:tblPr>
        <w:tblW w:type="dxa" w:w="10220"/>
        <w:tblBorders>
          <w:top w:val="single" w:color="auto" w:sz="4"/>
          <w:left w:val="single" w:color="auto" w:sz="4"/>
          <w:bottom w:val="single" w:color="auto" w:sz="4"/>
          <w:right w:val="single" w:color="auto" w:sz="4"/>
          <w:insideH w:val="single" w:color="auto" w:sz="4"/>
          <w:insideV w:val="single" w:color="auto" w:sz="4"/>
        </w:tblBorders>
      </w:tblPr>
      <w:tblGrid>
        <w:gridCol w:w="3200"/>
        <w:gridCol w:w="7020"/>
      </w:tblGrid>
      <w:tr>
        <w:trPr>
          <w:tblHeader/>
        </w:trPr>
        <w:tc>
          <w:tcPr>
            <w:tcW w:type="dxa" w:w="3200"/>
            <w:shd w:fill="D9D9D9" w:val="clear"/>
            <w:tcMar>
              <w:top w:type="dxa" w:w="80"/>
              <w:left w:type="dxa" w:w="120"/>
              <w:bottom w:type="dxa" w:w="80"/>
              <w:right w:type="dxa" w:w="120"/>
            </w:tcMar>
            <w:vAlign w:val="center"/>
          </w:tcPr>
          <w:p>
            <w:pPr>
              <w:jc w:val="left"/>
            </w:pPr>
            <w:r>
              <w:rPr>
                <w:b/>
                <w:bCs/>
                <w:color w:val="000000"/>
              </w:rPr>
              <w:t xml:space="preserve">Field</w:t>
            </w:r>
          </w:p>
        </w:tc>
        <w:tc>
          <w:tcPr>
            <w:tcW w:type="dxa" w:w="7020"/>
            <w:shd w:fill="D9D9D9" w:val="clear"/>
            <w:tcMar>
              <w:top w:type="dxa" w:w="80"/>
              <w:left w:type="dxa" w:w="120"/>
              <w:bottom w:type="dxa" w:w="80"/>
              <w:right w:type="dxa" w:w="120"/>
            </w:tcMar>
            <w:vAlign w:val="center"/>
          </w:tcPr>
          <w:p>
            <w:pPr>
              <w:jc w:val="left"/>
            </w:pPr>
            <w:r>
              <w:rPr>
                <w:b/>
                <w:bCs/>
                <w:color w:val="000000"/>
              </w:rPr>
              <w:t xml:space="preserve">Details</w:t>
            </w:r>
          </w:p>
        </w:tc>
      </w:tr>
      <w:tr>
        <w:tc>
          <w:tcPr>
            <w:tcW w:type="dxa" w:w="3200"/>
            <w:tcMar>
              <w:top w:type="dxa" w:w="80"/>
              <w:left w:type="dxa" w:w="120"/>
              <w:bottom w:type="dxa" w:w="80"/>
              <w:right w:type="dxa" w:w="120"/>
            </w:tcMar>
            <w:vAlign w:val="center"/>
          </w:tcPr>
          <w:p>
            <w:pPr>
              <w:jc w:val="left"/>
            </w:pPr>
            <w:r>
              <w:rPr>
                <w:b/>
                <w:bCs/>
              </w:rPr>
              <w:t xml:space="preserve">Submitted by</w:t>
            </w:r>
          </w:p>
        </w:tc>
        <w:tc>
          <w:tcPr>
            <w:tcW w:type="dxa" w:w="7020"/>
            <w:tcMar>
              <w:top w:type="dxa" w:w="80"/>
              <w:left w:type="dxa" w:w="120"/>
              <w:bottom w:type="dxa" w:w="80"/>
              <w:right w:type="dxa" w:w="120"/>
            </w:tcMar>
            <w:vAlign w:val="center"/>
          </w:tcPr>
          <w:p>
            <w:pPr>
              <w:jc w:val="left"/>
            </w:pPr>
            <w:r>
              <w:rPr>
                <w:b w:val="false"/>
                <w:bCs w:val="false"/>
              </w:rPr>
              <w:t xml:space="preserve">[Your Name] ([Roll No. / Registration No.])</w:t>
            </w:r>
          </w:p>
        </w:tc>
      </w:tr>
      <w:tr>
        <w:tc>
          <w:tcPr>
            <w:tcW w:type="dxa" w:w="3200"/>
            <w:tcMar>
              <w:top w:type="dxa" w:w="80"/>
              <w:left w:type="dxa" w:w="120"/>
              <w:bottom w:type="dxa" w:w="80"/>
              <w:right w:type="dxa" w:w="120"/>
            </w:tcMar>
            <w:vAlign w:val="center"/>
          </w:tcPr>
          <w:p>
            <w:pPr>
              <w:jc w:val="left"/>
            </w:pPr>
            <w:r>
              <w:rPr>
                <w:b/>
                <w:bCs/>
              </w:rPr>
              <w:t xml:space="preserve">Course / Program</w:t>
            </w:r>
          </w:p>
        </w:tc>
        <w:tc>
          <w:tcPr>
            <w:tcW w:type="dxa" w:w="7020"/>
            <w:tcMar>
              <w:top w:type="dxa" w:w="80"/>
              <w:left w:type="dxa" w:w="120"/>
              <w:bottom w:type="dxa" w:w="80"/>
              <w:right w:type="dxa" w:w="120"/>
            </w:tcMar>
            <w:vAlign w:val="center"/>
          </w:tcPr>
          <w:p>
            <w:pPr>
              <w:jc w:val="left"/>
            </w:pPr>
            <w:r>
              <w:rPr>
                <w:b w:val="false"/>
                <w:bCs w:val="false"/>
              </w:rPr>
              <w:t xml:space="preserve">[Your Course / Program Name]</w:t>
            </w:r>
          </w:p>
        </w:tc>
      </w:tr>
      <w:tr>
        <w:tc>
          <w:tcPr>
            <w:tcW w:type="dxa" w:w="3200"/>
            <w:tcMar>
              <w:top w:type="dxa" w:w="80"/>
              <w:left w:type="dxa" w:w="120"/>
              <w:bottom w:type="dxa" w:w="80"/>
              <w:right w:type="dxa" w:w="120"/>
            </w:tcMar>
            <w:vAlign w:val="center"/>
          </w:tcPr>
          <w:p>
            <w:pPr>
              <w:jc w:val="left"/>
            </w:pPr>
            <w:r>
              <w:rPr>
                <w:b/>
                <w:bCs/>
              </w:rPr>
              <w:t xml:space="preserve">Submitted to</w:t>
            </w:r>
          </w:p>
        </w:tc>
        <w:tc>
          <w:tcPr>
            <w:tcW w:type="dxa" w:w="7020"/>
            <w:tcMar>
              <w:top w:type="dxa" w:w="80"/>
              <w:left w:type="dxa" w:w="120"/>
              <w:bottom w:type="dxa" w:w="80"/>
              <w:right w:type="dxa" w:w="120"/>
            </w:tcMar>
            <w:vAlign w:val="center"/>
          </w:tcPr>
          <w:p>
            <w:pPr>
              <w:jc w:val="left"/>
            </w:pPr>
            <w:r>
              <w:rPr>
                <w:b w:val="false"/>
                <w:bCs w:val="false"/>
              </w:rPr>
              <w:t xml:space="preserve">[Professor's Name], [Department Name]</w:t>
            </w:r>
          </w:p>
        </w:tc>
      </w:tr>
      <w:tr>
        <w:tc>
          <w:tcPr>
            <w:tcW w:type="dxa" w:w="3200"/>
            <w:tcMar>
              <w:top w:type="dxa" w:w="80"/>
              <w:left w:type="dxa" w:w="120"/>
              <w:bottom w:type="dxa" w:w="80"/>
              <w:right w:type="dxa" w:w="120"/>
            </w:tcMar>
            <w:vAlign w:val="center"/>
          </w:tcPr>
          <w:p>
            <w:pPr>
              <w:jc w:val="left"/>
            </w:pPr>
            <w:r>
              <w:rPr>
                <w:b/>
                <w:bCs/>
              </w:rPr>
              <w:t xml:space="preserve">Institution</w:t>
            </w:r>
          </w:p>
        </w:tc>
        <w:tc>
          <w:tcPr>
            <w:tcW w:type="dxa" w:w="7020"/>
            <w:tcMar>
              <w:top w:type="dxa" w:w="80"/>
              <w:left w:type="dxa" w:w="120"/>
              <w:bottom w:type="dxa" w:w="80"/>
              <w:right w:type="dxa" w:w="120"/>
            </w:tcMar>
            <w:vAlign w:val="center"/>
          </w:tcPr>
          <w:p>
            <w:pPr>
              <w:jc w:val="left"/>
            </w:pPr>
            <w:r>
              <w:rPr>
                <w:b w:val="false"/>
                <w:bCs w:val="false"/>
              </w:rPr>
              <w:t xml:space="preserve">[College / University Name]</w:t>
            </w:r>
          </w:p>
        </w:tc>
      </w:tr>
      <w:tr>
        <w:tc>
          <w:tcPr>
            <w:tcW w:type="dxa" w:w="3200"/>
            <w:tcMar>
              <w:top w:type="dxa" w:w="80"/>
              <w:left w:type="dxa" w:w="120"/>
              <w:bottom w:type="dxa" w:w="80"/>
              <w:right w:type="dxa" w:w="120"/>
            </w:tcMar>
            <w:vAlign w:val="center"/>
          </w:tcPr>
          <w:p>
            <w:pPr>
              <w:jc w:val="left"/>
            </w:pPr>
            <w:r>
              <w:rPr>
                <w:b/>
                <w:bCs/>
              </w:rPr>
              <w:t xml:space="preserve">Date</w:t>
            </w:r>
          </w:p>
        </w:tc>
        <w:tc>
          <w:tcPr>
            <w:tcW w:type="dxa" w:w="7020"/>
            <w:tcMar>
              <w:top w:type="dxa" w:w="80"/>
              <w:left w:type="dxa" w:w="120"/>
              <w:bottom w:type="dxa" w:w="80"/>
              <w:right w:type="dxa" w:w="120"/>
            </w:tcMar>
            <w:vAlign w:val="center"/>
          </w:tcPr>
          <w:p>
            <w:pPr>
              <w:jc w:val="left"/>
            </w:pPr>
            <w:r>
              <w:rPr>
                <w:b w:val="false"/>
                <w:bCs w:val="false"/>
              </w:rPr>
              <w:t xml:space="preserve">[Submission Date]</w:t>
            </w:r>
          </w:p>
        </w:tc>
      </w:tr>
    </w:tbl>
    <w:p>
      <w:r>
        <w:br w:type="page"/>
      </w:r>
    </w:p>
    <w:p>
      <w:pPr>
        <w:pStyle w:val="Heading1"/>
        <w:spacing w:after="160" w:before="320"/>
      </w:pPr>
      <w:r>
        <w:t xml:space="preserve">1. Introduction</w:t>
      </w:r>
    </w:p>
    <w:p>
      <w:pPr>
        <w:spacing w:after="160" w:line="276"/>
        <w:jc w:val="both"/>
      </w:pPr>
      <w:r>
        <w:t xml:space="preserve">Software product teams typically begin a project by writing a Functional Design Document (FDD) that describes what a system should do in business terms — features, user roles, workflows, and requirements. Before development can start, this document must be translated into a Technical Design Document (TDD): system architecture, data models, API contracts, component breakdowns, non-functional requirements, and a deployment plan. This translation step is traditionally manual, time-consuming, and prone to inconsistency, since it depends on an architect's individual interpretation of the FDD, and there is no guaranteed traceability between a stated requirement and the resulting technical artifact.</w:t>
      </w:r>
    </w:p>
    <w:p>
      <w:pPr>
        <w:spacing w:after="160" w:line="276"/>
        <w:jc w:val="both"/>
      </w:pPr>
      <w:r>
        <w:t xml:space="preserve">This project, the “FDD-to-TDD Converter,” automates that translation. It accepts a Functional Design Document (as a PDF, DOCX, or Markdown file), extracts its functional content using Natural Language Processing, and uses a Large Language Model (LLM) to generate a complete, structured Technical Design Document — while maintaining an explicit traceability matrix that maps every technical decision back to the functional requirement that justified it.</w:t>
      </w:r>
    </w:p>
    <w:p>
      <w:pPr>
        <w:pStyle w:val="Heading1"/>
        <w:spacing w:after="160" w:before="320"/>
      </w:pPr>
      <w:r>
        <w:t xml:space="preserve">2. Problem Statement</w:t>
      </w:r>
    </w:p>
    <w:p>
      <w:pPr>
        <w:spacing w:after="160" w:line="276"/>
        <w:jc w:val="both"/>
      </w:pPr>
      <w:r>
        <w:t xml:space="preserve">Manually converting functional requirements into a technical design is slow, inconsistent across architects, and difficult to audit — reviewers cannot easily verify that every functional requirement in the FDD has actually been addressed by the resulting technical design. There is a need for a tool that can:</w:t>
      </w:r>
    </w:p>
    <w:p>
      <w:pPr>
        <w:pStyle w:val="ListParagraph"/>
        <w:numPr>
          <w:ilvl w:val="0"/>
          <w:numId w:val="2"/>
        </w:numPr>
        <w:spacing w:after="80" w:line="276"/>
      </w:pPr>
      <w:r>
        <w:t xml:space="preserve">Automatically extract requirements, actors, entities, workflows, and business rules from an unstructured FDD.</w:t>
      </w:r>
    </w:p>
    <w:p>
      <w:pPr>
        <w:pStyle w:val="ListParagraph"/>
        <w:numPr>
          <w:ilvl w:val="0"/>
          <w:numId w:val="2"/>
        </w:numPr>
        <w:spacing w:after="80" w:line="276"/>
      </w:pPr>
      <w:r>
        <w:t xml:space="preserve">Use AI to generate a complete, industry-standard TDD (architecture, data model, API design, components, non-functional requirements, deployment).</w:t>
      </w:r>
    </w:p>
    <w:p>
      <w:pPr>
        <w:pStyle w:val="ListParagraph"/>
        <w:numPr>
          <w:ilvl w:val="0"/>
          <w:numId w:val="2"/>
        </w:numPr>
        <w:spacing w:after="80" w:line="276"/>
      </w:pPr>
      <w:r>
        <w:t xml:space="preserve">Guarantee traceability by mapping each FDD requirement to the specific APIs, tables, and components that satisfy it.</w:t>
      </w:r>
    </w:p>
    <w:p>
      <w:pPr>
        <w:pStyle w:val="ListParagraph"/>
        <w:numPr>
          <w:ilvl w:val="0"/>
          <w:numId w:val="2"/>
        </w:numPr>
        <w:spacing w:after="80" w:line="276"/>
      </w:pPr>
      <w:r>
        <w:t xml:space="preserve">Provide the output in developer-friendly formats (JSON, Markdown, HTML) along with supporting artifacts such as OpenAPI specifications and architecture diagrams.</w:t>
      </w:r>
    </w:p>
    <w:p>
      <w:pPr>
        <w:pStyle w:val="Heading1"/>
        <w:spacing w:after="160" w:before="320"/>
      </w:pPr>
      <w:r>
        <w:t xml:space="preserve">3. Objectives</w:t>
      </w:r>
    </w:p>
    <w:p>
      <w:pPr>
        <w:pStyle w:val="ListParagraph"/>
        <w:numPr>
          <w:ilvl w:val="0"/>
          <w:numId w:val="3"/>
        </w:numPr>
        <w:spacing w:after="80" w:line="276"/>
      </w:pPr>
      <w:r>
        <w:t xml:space="preserve">To design a document parsing pipeline that extracts clean text from FDD files in PDF, DOCX, and Markdown formats.</w:t>
      </w:r>
    </w:p>
    <w:p>
      <w:pPr>
        <w:pStyle w:val="ListParagraph"/>
        <w:numPr>
          <w:ilvl w:val="0"/>
          <w:numId w:val="3"/>
        </w:numPr>
        <w:spacing w:after="80" w:line="276"/>
      </w:pPr>
      <w:r>
        <w:t xml:space="preserve">To build an NLP pipeline (using spaCy Named Entity Recognition and pattern matching) that identifies functional requirements, actors, data entities, workflows, and business rules from raw FDD text.</w:t>
      </w:r>
    </w:p>
    <w:p>
      <w:pPr>
        <w:pStyle w:val="ListParagraph"/>
        <w:numPr>
          <w:ilvl w:val="0"/>
          <w:numId w:val="3"/>
        </w:numPr>
        <w:spacing w:after="80" w:line="276"/>
      </w:pPr>
      <w:r>
        <w:t xml:space="preserve">To integrate a Large Language Model (Anthropic's Claude, with a Groq-based multi-tool orchestration alternative) to synthesize a complete, schema-consistent Technical Design Document from the extracted components.</w:t>
      </w:r>
    </w:p>
    <w:p>
      <w:pPr>
        <w:pStyle w:val="ListParagraph"/>
        <w:numPr>
          <w:ilvl w:val="0"/>
          <w:numId w:val="3"/>
        </w:numPr>
        <w:spacing w:after="80" w:line="276"/>
      </w:pPr>
      <w:r>
        <w:t xml:space="preserve">To implement a traceability engine that automatically links every functional requirement to the API endpoints, database tables, and components that implement it, producing a verifiable coverage report.</w:t>
      </w:r>
    </w:p>
    <w:p>
      <w:pPr>
        <w:pStyle w:val="ListParagraph"/>
        <w:numPr>
          <w:ilvl w:val="0"/>
          <w:numId w:val="3"/>
        </w:numPr>
        <w:spacing w:after="80" w:line="276"/>
      </w:pPr>
      <w:r>
        <w:t xml:space="preserve">To generate supporting technical artifacts automatically: OpenAPI 3.0 specifications, ER diagrams, sequence diagrams, and deployment diagrams (via Mermaid.js).</w:t>
      </w:r>
    </w:p>
    <w:p>
      <w:pPr>
        <w:pStyle w:val="ListParagraph"/>
        <w:numPr>
          <w:ilvl w:val="0"/>
          <w:numId w:val="3"/>
        </w:numPr>
        <w:spacing w:after="80" w:line="276"/>
      </w:pPr>
      <w:r>
        <w:t xml:space="preserve">To provide a complete, usable web interface where a user can upload an FDD, review extracted components, trigger TDD generation, and view/download the result.</w:t>
      </w:r>
    </w:p>
    <w:p>
      <w:pPr>
        <w:pStyle w:val="ListParagraph"/>
        <w:numPr>
          <w:ilvl w:val="0"/>
          <w:numId w:val="3"/>
        </w:numPr>
        <w:spacing w:after="80" w:line="276"/>
      </w:pPr>
      <w:r>
        <w:t xml:space="preserve">To validate output quality through automated completeness and traceability-coverage checks.</w:t>
      </w:r>
    </w:p>
    <w:p>
      <w:pPr>
        <w:pStyle w:val="Heading1"/>
        <w:spacing w:after="160" w:before="320"/>
      </w:pPr>
      <w:r>
        <w:t xml:space="preserve">4. Scope of the Project</w:t>
      </w:r>
    </w:p>
    <w:p>
      <w:pPr>
        <w:spacing w:after="160" w:line="276"/>
        <w:jc w:val="both"/>
      </w:pPr>
      <w:r>
        <w:t xml:space="preserve">The system covers the full pipeline from raw FDD upload to a downloadable, structured TDD. It is designed as a proof-of-concept / academic prototype demonstrating applied NLP and generative AI for software engineering automation, rather than a production-hardened enterprise tool. The current scope includes single-document processing (one FDD at a time), local/self-hosted deployment via Docker, and support for PDF, DOCX, and Markdown input formats. It does not include multi-user collaboration, version control of generated TDDs, or direct integration with project management tools — these are identified as future enhancements (Section 10).</w:t>
      </w:r>
    </w:p>
    <w:p>
      <w:pPr>
        <w:pStyle w:val="Heading1"/>
        <w:spacing w:after="160" w:before="320"/>
      </w:pPr>
      <w:r>
        <w:t xml:space="preserve">5. System Architecture</w:t>
      </w:r>
    </w:p>
    <w:p>
      <w:pPr>
        <w:spacing w:after="160" w:line="276"/>
        <w:jc w:val="both"/>
      </w:pPr>
      <w:r>
        <w:t xml:space="preserve">The system follows a three-tier microservice architecture, allowing the presentation, business logic, and AI/NLP processing layers to be developed, scaled, and deployed independently:</w:t>
      </w:r>
    </w:p>
    <w:tbl>
      <w:tblPr>
        <w:tblW w:type="dxa" w:w="10220"/>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5520"/>
      </w:tblGrid>
      <w:tr>
        <w:trPr>
          <w:tblHeader/>
        </w:trPr>
        <w:tc>
          <w:tcPr>
            <w:tcW w:type="dxa" w:w="1800"/>
            <w:shd w:fill="D9D9D9" w:val="clear"/>
            <w:tcMar>
              <w:top w:type="dxa" w:w="80"/>
              <w:left w:type="dxa" w:w="120"/>
              <w:bottom w:type="dxa" w:w="80"/>
              <w:right w:type="dxa" w:w="120"/>
            </w:tcMar>
            <w:vAlign w:val="center"/>
          </w:tcPr>
          <w:p>
            <w:pPr>
              <w:jc w:val="left"/>
            </w:pPr>
            <w:r>
              <w:rPr>
                <w:b/>
                <w:bCs/>
                <w:color w:val="000000"/>
              </w:rPr>
              <w:t xml:space="preserve">Layer</w:t>
            </w:r>
          </w:p>
        </w:tc>
        <w:tc>
          <w:tcPr>
            <w:tcW w:type="dxa" w:w="2900"/>
            <w:shd w:fill="D9D9D9" w:val="clear"/>
            <w:tcMar>
              <w:top w:type="dxa" w:w="80"/>
              <w:left w:type="dxa" w:w="120"/>
              <w:bottom w:type="dxa" w:w="80"/>
              <w:right w:type="dxa" w:w="120"/>
            </w:tcMar>
            <w:vAlign w:val="center"/>
          </w:tcPr>
          <w:p>
            <w:pPr>
              <w:jc w:val="left"/>
            </w:pPr>
            <w:r>
              <w:rPr>
                <w:b/>
                <w:bCs/>
                <w:color w:val="000000"/>
              </w:rPr>
              <w:t xml:space="preserve">Technology</w:t>
            </w:r>
          </w:p>
        </w:tc>
        <w:tc>
          <w:tcPr>
            <w:tcW w:type="dxa" w:w="5520"/>
            <w:shd w:fill="D9D9D9" w:val="clear"/>
            <w:tcMar>
              <w:top w:type="dxa" w:w="80"/>
              <w:left w:type="dxa" w:w="120"/>
              <w:bottom w:type="dxa" w:w="80"/>
              <w:right w:type="dxa" w:w="120"/>
            </w:tcMar>
            <w:vAlign w:val="center"/>
          </w:tcPr>
          <w:p>
            <w:pPr>
              <w:jc w:val="left"/>
            </w:pPr>
            <w:r>
              <w:rPr>
                <w:b/>
                <w:bCs/>
                <w:color w:val="000000"/>
              </w:rPr>
              <w:t xml:space="preserve">Responsibility</w:t>
            </w:r>
          </w:p>
        </w:tc>
      </w:tr>
      <w:tr>
        <w:tc>
          <w:tcPr>
            <w:tcW w:type="dxa" w:w="1800"/>
            <w:tcMar>
              <w:top w:type="dxa" w:w="80"/>
              <w:left w:type="dxa" w:w="120"/>
              <w:bottom w:type="dxa" w:w="80"/>
              <w:right w:type="dxa" w:w="120"/>
            </w:tcMar>
            <w:vAlign w:val="center"/>
          </w:tcPr>
          <w:p>
            <w:pPr>
              <w:jc w:val="left"/>
            </w:pPr>
            <w:r>
              <w:rPr>
                <w:b w:val="false"/>
                <w:bCs w:val="false"/>
              </w:rPr>
              <w:t xml:space="preserve">Frontend</w:t>
            </w:r>
          </w:p>
        </w:tc>
        <w:tc>
          <w:tcPr>
            <w:tcW w:type="dxa" w:w="2900"/>
            <w:tcMar>
              <w:top w:type="dxa" w:w="80"/>
              <w:left w:type="dxa" w:w="120"/>
              <w:bottom w:type="dxa" w:w="80"/>
              <w:right w:type="dxa" w:w="120"/>
            </w:tcMar>
            <w:vAlign w:val="center"/>
          </w:tcPr>
          <w:p>
            <w:pPr>
              <w:jc w:val="left"/>
            </w:pPr>
            <w:r>
              <w:rPr>
                <w:b w:val="false"/>
                <w:bCs w:val="false"/>
              </w:rPr>
              <w:t xml:space="preserve">React 18 + Material UI (MUI)</w:t>
            </w:r>
          </w:p>
        </w:tc>
        <w:tc>
          <w:tcPr>
            <w:tcW w:type="dxa" w:w="5520"/>
            <w:tcMar>
              <w:top w:type="dxa" w:w="80"/>
              <w:left w:type="dxa" w:w="120"/>
              <w:bottom w:type="dxa" w:w="80"/>
              <w:right w:type="dxa" w:w="120"/>
            </w:tcMar>
            <w:vAlign w:val="center"/>
          </w:tcPr>
          <w:p>
            <w:pPr>
              <w:jc w:val="left"/>
            </w:pPr>
            <w:r>
              <w:rPr>
                <w:b w:val="false"/>
                <w:bCs w:val="false"/>
              </w:rPr>
              <w:t xml:space="preserve">File upload UI, pipeline stepper, extracted-component review, multi-tab TDD viewer, download options</w:t>
            </w:r>
          </w:p>
        </w:tc>
      </w:tr>
      <w:tr>
        <w:tc>
          <w:tcPr>
            <w:tcW w:type="dxa" w:w="1800"/>
            <w:tcMar>
              <w:top w:type="dxa" w:w="80"/>
              <w:left w:type="dxa" w:w="120"/>
              <w:bottom w:type="dxa" w:w="80"/>
              <w:right w:type="dxa" w:w="120"/>
            </w:tcMar>
            <w:vAlign w:val="center"/>
          </w:tcPr>
          <w:p>
            <w:pPr>
              <w:jc w:val="left"/>
            </w:pPr>
            <w:r>
              <w:rPr>
                <w:b w:val="false"/>
                <w:bCs w:val="false"/>
              </w:rPr>
              <w:t xml:space="preserve">Backend</w:t>
            </w:r>
          </w:p>
        </w:tc>
        <w:tc>
          <w:tcPr>
            <w:tcW w:type="dxa" w:w="2900"/>
            <w:tcMar>
              <w:top w:type="dxa" w:w="80"/>
              <w:left w:type="dxa" w:w="120"/>
              <w:bottom w:type="dxa" w:w="80"/>
              <w:right w:type="dxa" w:w="120"/>
            </w:tcMar>
            <w:vAlign w:val="center"/>
          </w:tcPr>
          <w:p>
            <w:pPr>
              <w:jc w:val="left"/>
            </w:pPr>
            <w:r>
              <w:rPr>
                <w:b w:val="false"/>
                <w:bCs w:val="false"/>
              </w:rPr>
              <w:t xml:space="preserve">Node.js + Express</w:t>
            </w:r>
          </w:p>
        </w:tc>
        <w:tc>
          <w:tcPr>
            <w:tcW w:type="dxa" w:w="5520"/>
            <w:tcMar>
              <w:top w:type="dxa" w:w="80"/>
              <w:left w:type="dxa" w:w="120"/>
              <w:bottom w:type="dxa" w:w="80"/>
              <w:right w:type="dxa" w:w="120"/>
            </w:tcMar>
            <w:vAlign w:val="center"/>
          </w:tcPr>
          <w:p>
            <w:pPr>
              <w:jc w:val="left"/>
            </w:pPr>
            <w:r>
              <w:rPr>
                <w:b w:val="false"/>
                <w:bCs w:val="false"/>
              </w:rPr>
              <w:t xml:space="preserve">REST API gateway — file upload handling, request orchestration to the AI microservice, PDF export, TDD validation</w:t>
            </w:r>
          </w:p>
        </w:tc>
      </w:tr>
      <w:tr>
        <w:tc>
          <w:tcPr>
            <w:tcW w:type="dxa" w:w="1800"/>
            <w:tcMar>
              <w:top w:type="dxa" w:w="80"/>
              <w:left w:type="dxa" w:w="120"/>
              <w:bottom w:type="dxa" w:w="80"/>
              <w:right w:type="dxa" w:w="120"/>
            </w:tcMar>
            <w:vAlign w:val="center"/>
          </w:tcPr>
          <w:p>
            <w:pPr>
              <w:jc w:val="left"/>
            </w:pPr>
            <w:r>
              <w:rPr>
                <w:b w:val="false"/>
                <w:bCs w:val="false"/>
              </w:rPr>
              <w:t xml:space="preserve">AI Microservice</w:t>
            </w:r>
          </w:p>
        </w:tc>
        <w:tc>
          <w:tcPr>
            <w:tcW w:type="dxa" w:w="2900"/>
            <w:tcMar>
              <w:top w:type="dxa" w:w="80"/>
              <w:left w:type="dxa" w:w="120"/>
              <w:bottom w:type="dxa" w:w="80"/>
              <w:right w:type="dxa" w:w="120"/>
            </w:tcMar>
            <w:vAlign w:val="center"/>
          </w:tcPr>
          <w:p>
            <w:pPr>
              <w:jc w:val="left"/>
            </w:pPr>
            <w:r>
              <w:rPr>
                <w:b w:val="false"/>
                <w:bCs w:val="false"/>
              </w:rPr>
              <w:t xml:space="preserve">Python + FastAPI, spaCy, Anthropic Claude / Groq</w:t>
            </w:r>
          </w:p>
        </w:tc>
        <w:tc>
          <w:tcPr>
            <w:tcW w:type="dxa" w:w="5520"/>
            <w:tcMar>
              <w:top w:type="dxa" w:w="80"/>
              <w:left w:type="dxa" w:w="120"/>
              <w:bottom w:type="dxa" w:w="80"/>
              <w:right w:type="dxa" w:w="120"/>
            </w:tcMar>
            <w:vAlign w:val="center"/>
          </w:tcPr>
          <w:p>
            <w:pPr>
              <w:jc w:val="left"/>
            </w:pPr>
            <w:r>
              <w:rPr>
                <w:b w:val="false"/>
                <w:bCs w:val="false"/>
              </w:rPr>
              <w:t xml:space="preserve">Document parsing, NLP extraction, LLM-based TDD generation, traceability building, diagram/OpenAPI generation</w:t>
            </w:r>
          </w:p>
        </w:tc>
      </w:tr>
    </w:tbl>
    <w:p>
      <w:pPr>
        <w:spacing w:before="200"/>
      </w:pPr>
    </w:p>
    <w:p>
      <w:pPr>
        <w:spacing w:after="160" w:line="276"/>
        <w:jc w:val="both"/>
      </w:pPr>
      <w:r>
        <w:t xml:space="preserve">Communication between the frontend and backend occurs over HTTP/REST; the backend in turn calls the Python AI microservice internally. This separation of concerns keeps the AI/NLP logic (which has Python-specific dependencies such as spaCy and sentence-transformers) isolated from the Node.js API layer, and allows each service to be containerized and scaled independently via Docker Compose.</w:t>
      </w:r>
    </w:p>
    <w:p>
      <w:pPr>
        <w:pStyle w:val="Heading2"/>
        <w:spacing w:after="120" w:before="220"/>
      </w:pPr>
      <w:r>
        <w:t xml:space="preserve">5.1 Processing Pipeline</w:t>
      </w:r>
    </w:p>
    <w:p>
      <w:pPr>
        <w:pStyle w:val="ListParagraph"/>
        <w:numPr>
          <w:ilvl w:val="0"/>
          <w:numId w:val="3"/>
        </w:numPr>
        <w:spacing w:after="80" w:line="276"/>
      </w:pPr>
      <w:r>
        <w:t xml:space="preserve">Document Parsing — Raw text is extracted from the uploaded FDD using PyPDF2 (PDF) or python-docx (DOCX).</w:t>
      </w:r>
    </w:p>
    <w:p>
      <w:pPr>
        <w:pStyle w:val="ListParagraph"/>
        <w:numPr>
          <w:ilvl w:val="0"/>
          <w:numId w:val="3"/>
        </w:numPr>
        <w:spacing w:after="80" w:line="276"/>
      </w:pPr>
      <w:r>
        <w:t xml:space="preserve">NLP Extraction — spaCy's Named Entity Recognition combined with regex-based pattern matching identifies functional requirements, actors, data entities, workflows, and business rules.</w:t>
      </w:r>
    </w:p>
    <w:p>
      <w:pPr>
        <w:pStyle w:val="ListParagraph"/>
        <w:numPr>
          <w:ilvl w:val="0"/>
          <w:numId w:val="3"/>
        </w:numPr>
        <w:spacing w:after="80" w:line="276"/>
      </w:pPr>
      <w:r>
        <w:t xml:space="preserve">Context Retrieval — For long documents, a retrieval-augmented approach (sentence-transformer embeddings + cosine similarity, all-MiniLM-L6-v2) selects the most relevant text chunks for each generation step, replacing naive truncation of the document.</w:t>
      </w:r>
    </w:p>
    <w:p>
      <w:pPr>
        <w:pStyle w:val="ListParagraph"/>
        <w:numPr>
          <w:ilvl w:val="0"/>
          <w:numId w:val="3"/>
        </w:numPr>
        <w:spacing w:after="80" w:line="276"/>
      </w:pPr>
      <w:r>
        <w:t xml:space="preserve">AI-Based TDD Generation — The extracted components and relevant context are sent to Claude (claude-haiku-4-5) with a structured system prompt that enforces a strict JSON schema covering seven TDD sections. An alternative pipeline orchestrates five specialized tools (ER diagram generator, sequence diagram generator, API contract generator, schema builder, and NFR mapper) via the Groq API using a Model Context Protocol (MCP) pattern.</w:t>
      </w:r>
    </w:p>
    <w:p>
      <w:pPr>
        <w:pStyle w:val="ListParagraph"/>
        <w:numPr>
          <w:ilvl w:val="0"/>
          <w:numId w:val="3"/>
        </w:numPr>
        <w:spacing w:after="80" w:line="276"/>
      </w:pPr>
      <w:r>
        <w:t xml:space="preserve">Traceability Matrix Construction — Each FDD requirement is automatically matched, via keyword overlap analysis, to the API endpoints, database tables, and components that address it, and a coverage percentage is computed.</w:t>
      </w:r>
    </w:p>
    <w:p>
      <w:pPr>
        <w:pStyle w:val="ListParagraph"/>
        <w:numPr>
          <w:ilvl w:val="0"/>
          <w:numId w:val="3"/>
        </w:numPr>
        <w:spacing w:after="80" w:line="276"/>
      </w:pPr>
      <w:r>
        <w:t xml:space="preserve">Output Generation — The final TDD is produced as JSON and Markdown, with an HTML rendering and an auto-generated OpenAPI 3.0 specification, plus Mermaid.js diagrams for system architecture, ER relationships, sequence flows, and deployment topology.</w:t>
      </w:r>
    </w:p>
    <w:p>
      <w:pPr>
        <w:pStyle w:val="Heading1"/>
        <w:spacing w:after="160" w:before="320"/>
      </w:pPr>
      <w:r>
        <w:t xml:space="preserve">6. Key Modules</w:t>
      </w:r>
    </w:p>
    <w:tbl>
      <w:tblPr>
        <w:tblW w:type="dxa" w:w="10220"/>
        <w:tblBorders>
          <w:top w:val="single" w:color="auto" w:sz="4"/>
          <w:left w:val="single" w:color="auto" w:sz="4"/>
          <w:bottom w:val="single" w:color="auto" w:sz="4"/>
          <w:right w:val="single" w:color="auto" w:sz="4"/>
          <w:insideH w:val="single" w:color="auto" w:sz="4"/>
          <w:insideV w:val="single" w:color="auto" w:sz="4"/>
        </w:tblBorders>
      </w:tblPr>
      <w:tblGrid>
        <w:gridCol w:w="2800"/>
        <w:gridCol w:w="7420"/>
      </w:tblGrid>
      <w:tr>
        <w:trPr>
          <w:tblHeader/>
        </w:trPr>
        <w:tc>
          <w:tcPr>
            <w:tcW w:type="dxa" w:w="2800"/>
            <w:shd w:fill="D9D9D9" w:val="clear"/>
            <w:tcMar>
              <w:top w:type="dxa" w:w="80"/>
              <w:left w:type="dxa" w:w="120"/>
              <w:bottom w:type="dxa" w:w="80"/>
              <w:right w:type="dxa" w:w="120"/>
            </w:tcMar>
            <w:vAlign w:val="center"/>
          </w:tcPr>
          <w:p>
            <w:pPr>
              <w:jc w:val="left"/>
            </w:pPr>
            <w:r>
              <w:rPr>
                <w:b/>
                <w:bCs/>
                <w:color w:val="000000"/>
              </w:rPr>
              <w:t xml:space="preserve">Module</w:t>
            </w:r>
          </w:p>
        </w:tc>
        <w:tc>
          <w:tcPr>
            <w:tcW w:type="dxa" w:w="7420"/>
            <w:shd w:fill="D9D9D9" w:val="clear"/>
            <w:tcMar>
              <w:top w:type="dxa" w:w="80"/>
              <w:left w:type="dxa" w:w="120"/>
              <w:bottom w:type="dxa" w:w="80"/>
              <w:right w:type="dxa" w:w="120"/>
            </w:tcMar>
            <w:vAlign w:val="center"/>
          </w:tcPr>
          <w:p>
            <w:pPr>
              <w:jc w:val="left"/>
            </w:pPr>
            <w:r>
              <w:rPr>
                <w:b/>
                <w:bCs/>
                <w:color w:val="000000"/>
              </w:rPr>
              <w:t xml:space="preserve">Description</w:t>
            </w:r>
          </w:p>
        </w:tc>
      </w:tr>
      <w:tr>
        <w:tc>
          <w:tcPr>
            <w:tcW w:type="dxa" w:w="2800"/>
            <w:tcMar>
              <w:top w:type="dxa" w:w="80"/>
              <w:left w:type="dxa" w:w="120"/>
              <w:bottom w:type="dxa" w:w="80"/>
              <w:right w:type="dxa" w:w="120"/>
            </w:tcMar>
            <w:vAlign w:val="center"/>
          </w:tcPr>
          <w:p>
            <w:pPr>
              <w:jc w:val="left"/>
            </w:pPr>
            <w:r>
              <w:rPr>
                <w:b/>
                <w:bCs/>
              </w:rPr>
              <w:t xml:space="preserve">Document Parser</w:t>
            </w:r>
          </w:p>
        </w:tc>
        <w:tc>
          <w:tcPr>
            <w:tcW w:type="dxa" w:w="7420"/>
            <w:tcMar>
              <w:top w:type="dxa" w:w="80"/>
              <w:left w:type="dxa" w:w="120"/>
              <w:bottom w:type="dxa" w:w="80"/>
              <w:right w:type="dxa" w:w="120"/>
            </w:tcMar>
            <w:vAlign w:val="center"/>
          </w:tcPr>
          <w:p>
            <w:pPr>
              <w:jc w:val="left"/>
            </w:pPr>
            <w:r>
              <w:rPr>
                <w:b w:val="false"/>
                <w:bCs w:val="false"/>
              </w:rPr>
              <w:t xml:space="preserve">Extracts raw text from PDF, DOCX, and Markdown FDD files.</w:t>
            </w:r>
          </w:p>
        </w:tc>
      </w:tr>
      <w:tr>
        <w:tc>
          <w:tcPr>
            <w:tcW w:type="dxa" w:w="2800"/>
            <w:tcMar>
              <w:top w:type="dxa" w:w="80"/>
              <w:left w:type="dxa" w:w="120"/>
              <w:bottom w:type="dxa" w:w="80"/>
              <w:right w:type="dxa" w:w="120"/>
            </w:tcMar>
            <w:vAlign w:val="center"/>
          </w:tcPr>
          <w:p>
            <w:pPr>
              <w:jc w:val="left"/>
            </w:pPr>
            <w:r>
              <w:rPr>
                <w:b/>
                <w:bCs/>
              </w:rPr>
              <w:t xml:space="preserve">NLP Processor</w:t>
            </w:r>
          </w:p>
        </w:tc>
        <w:tc>
          <w:tcPr>
            <w:tcW w:type="dxa" w:w="7420"/>
            <w:tcMar>
              <w:top w:type="dxa" w:w="80"/>
              <w:left w:type="dxa" w:w="120"/>
              <w:bottom w:type="dxa" w:w="80"/>
              <w:right w:type="dxa" w:w="120"/>
            </w:tcMar>
            <w:vAlign w:val="center"/>
          </w:tcPr>
          <w:p>
            <w:pPr>
              <w:jc w:val="left"/>
            </w:pPr>
            <w:r>
              <w:rPr>
                <w:b w:val="false"/>
                <w:bCs w:val="false"/>
              </w:rPr>
              <w:t xml:space="preserve">Uses spaCy NER and regex patterns to extract functional requirements, actors, entities, workflows, and business rules.</w:t>
            </w:r>
          </w:p>
        </w:tc>
      </w:tr>
      <w:tr>
        <w:tc>
          <w:tcPr>
            <w:tcW w:type="dxa" w:w="2800"/>
            <w:tcMar>
              <w:top w:type="dxa" w:w="80"/>
              <w:left w:type="dxa" w:w="120"/>
              <w:bottom w:type="dxa" w:w="80"/>
              <w:right w:type="dxa" w:w="120"/>
            </w:tcMar>
            <w:vAlign w:val="center"/>
          </w:tcPr>
          <w:p>
            <w:pPr>
              <w:jc w:val="left"/>
            </w:pPr>
            <w:r>
              <w:rPr>
                <w:b/>
                <w:bCs/>
              </w:rPr>
              <w:t xml:space="preserve">Retrieval Module</w:t>
            </w:r>
          </w:p>
        </w:tc>
        <w:tc>
          <w:tcPr>
            <w:tcW w:type="dxa" w:w="7420"/>
            <w:tcMar>
              <w:top w:type="dxa" w:w="80"/>
              <w:left w:type="dxa" w:w="120"/>
              <w:bottom w:type="dxa" w:w="80"/>
              <w:right w:type="dxa" w:w="120"/>
            </w:tcMar>
            <w:vAlign w:val="center"/>
          </w:tcPr>
          <w:p>
            <w:pPr>
              <w:jc w:val="left"/>
            </w:pPr>
            <w:r>
              <w:rPr>
                <w:b w:val="false"/>
                <w:bCs w:val="false"/>
              </w:rPr>
              <w:t xml:space="preserve">Chunks long documents and uses embedding-based cosine similarity search to retrieve the most relevant context per generation task.</w:t>
            </w:r>
          </w:p>
        </w:tc>
      </w:tr>
      <w:tr>
        <w:tc>
          <w:tcPr>
            <w:tcW w:type="dxa" w:w="2800"/>
            <w:tcMar>
              <w:top w:type="dxa" w:w="80"/>
              <w:left w:type="dxa" w:w="120"/>
              <w:bottom w:type="dxa" w:w="80"/>
              <w:right w:type="dxa" w:w="120"/>
            </w:tcMar>
            <w:vAlign w:val="center"/>
          </w:tcPr>
          <w:p>
            <w:pPr>
              <w:jc w:val="left"/>
            </w:pPr>
            <w:r>
              <w:rPr>
                <w:b/>
                <w:bCs/>
              </w:rPr>
              <w:t xml:space="preserve">TDD Generator</w:t>
            </w:r>
          </w:p>
        </w:tc>
        <w:tc>
          <w:tcPr>
            <w:tcW w:type="dxa" w:w="7420"/>
            <w:tcMar>
              <w:top w:type="dxa" w:w="80"/>
              <w:left w:type="dxa" w:w="120"/>
              <w:bottom w:type="dxa" w:w="80"/>
              <w:right w:type="dxa" w:w="120"/>
            </w:tcMar>
            <w:vAlign w:val="center"/>
          </w:tcPr>
          <w:p>
            <w:pPr>
              <w:jc w:val="left"/>
            </w:pPr>
            <w:r>
              <w:rPr>
                <w:b w:val="false"/>
                <w:bCs w:val="false"/>
              </w:rPr>
              <w:t xml:space="preserve">Sends structured prompts to the Claude API and parses the strict-JSON response into the seven-section TDD schema.</w:t>
            </w:r>
          </w:p>
        </w:tc>
      </w:tr>
      <w:tr>
        <w:tc>
          <w:tcPr>
            <w:tcW w:type="dxa" w:w="2800"/>
            <w:tcMar>
              <w:top w:type="dxa" w:w="80"/>
              <w:left w:type="dxa" w:w="120"/>
              <w:bottom w:type="dxa" w:w="80"/>
              <w:right w:type="dxa" w:w="120"/>
            </w:tcMar>
            <w:vAlign w:val="center"/>
          </w:tcPr>
          <w:p>
            <w:pPr>
              <w:jc w:val="left"/>
            </w:pPr>
            <w:r>
              <w:rPr>
                <w:b/>
                <w:bCs/>
              </w:rPr>
              <w:t xml:space="preserve">MCP Orchestrator</w:t>
            </w:r>
          </w:p>
        </w:tc>
        <w:tc>
          <w:tcPr>
            <w:tcW w:type="dxa" w:w="7420"/>
            <w:tcMar>
              <w:top w:type="dxa" w:w="80"/>
              <w:left w:type="dxa" w:w="120"/>
              <w:bottom w:type="dxa" w:w="80"/>
              <w:right w:type="dxa" w:w="120"/>
            </w:tcMar>
            <w:vAlign w:val="center"/>
          </w:tcPr>
          <w:p>
            <w:pPr>
              <w:jc w:val="left"/>
            </w:pPr>
            <w:r>
              <w:rPr>
                <w:b w:val="false"/>
                <w:bCs w:val="false"/>
              </w:rPr>
              <w:t xml:space="preserve">An alternative generation path that coordinates five specialized, independent LLM tools (via Groq) to build each TDD section separately, with retry logic for malformed JSON.</w:t>
            </w:r>
          </w:p>
        </w:tc>
      </w:tr>
      <w:tr>
        <w:tc>
          <w:tcPr>
            <w:tcW w:type="dxa" w:w="2800"/>
            <w:tcMar>
              <w:top w:type="dxa" w:w="80"/>
              <w:left w:type="dxa" w:w="120"/>
              <w:bottom w:type="dxa" w:w="80"/>
              <w:right w:type="dxa" w:w="120"/>
            </w:tcMar>
            <w:vAlign w:val="center"/>
          </w:tcPr>
          <w:p>
            <w:pPr>
              <w:jc w:val="left"/>
            </w:pPr>
            <w:r>
              <w:rPr>
                <w:b/>
                <w:bCs/>
              </w:rPr>
              <w:t xml:space="preserve">Traceability Builder</w:t>
            </w:r>
          </w:p>
        </w:tc>
        <w:tc>
          <w:tcPr>
            <w:tcW w:type="dxa" w:w="7420"/>
            <w:tcMar>
              <w:top w:type="dxa" w:w="80"/>
              <w:left w:type="dxa" w:w="120"/>
              <w:bottom w:type="dxa" w:w="80"/>
              <w:right w:type="dxa" w:w="120"/>
            </w:tcMar>
            <w:vAlign w:val="center"/>
          </w:tcPr>
          <w:p>
            <w:pPr>
              <w:jc w:val="left"/>
            </w:pPr>
            <w:r>
              <w:rPr>
                <w:b w:val="false"/>
                <w:bCs w:val="false"/>
              </w:rPr>
              <w:t xml:space="preserve">Matches FDD requirements to generated APIs, tables, and components, and computes per-requirement coverage.</w:t>
            </w:r>
          </w:p>
        </w:tc>
      </w:tr>
      <w:tr>
        <w:tc>
          <w:tcPr>
            <w:tcW w:type="dxa" w:w="2800"/>
            <w:tcMar>
              <w:top w:type="dxa" w:w="80"/>
              <w:left w:type="dxa" w:w="120"/>
              <w:bottom w:type="dxa" w:w="80"/>
              <w:right w:type="dxa" w:w="120"/>
            </w:tcMar>
            <w:vAlign w:val="center"/>
          </w:tcPr>
          <w:p>
            <w:pPr>
              <w:jc w:val="left"/>
            </w:pPr>
            <w:r>
              <w:rPr>
                <w:b/>
                <w:bCs/>
              </w:rPr>
              <w:t xml:space="preserve">API Docs / Diagram Generator</w:t>
            </w:r>
          </w:p>
        </w:tc>
        <w:tc>
          <w:tcPr>
            <w:tcW w:type="dxa" w:w="7420"/>
            <w:tcMar>
              <w:top w:type="dxa" w:w="80"/>
              <w:left w:type="dxa" w:w="120"/>
              <w:bottom w:type="dxa" w:w="80"/>
              <w:right w:type="dxa" w:w="120"/>
            </w:tcMar>
            <w:vAlign w:val="center"/>
          </w:tcPr>
          <w:p>
            <w:pPr>
              <w:jc w:val="left"/>
            </w:pPr>
            <w:r>
              <w:rPr>
                <w:b w:val="false"/>
                <w:bCs w:val="false"/>
              </w:rPr>
              <w:t xml:space="preserve">Converts the TDD into an OpenAPI 3.0 specification and generates Mermaid.js ER, sequence, and deployment diagrams.</w:t>
            </w:r>
          </w:p>
        </w:tc>
      </w:tr>
      <w:tr>
        <w:tc>
          <w:tcPr>
            <w:tcW w:type="dxa" w:w="2800"/>
            <w:tcMar>
              <w:top w:type="dxa" w:w="80"/>
              <w:left w:type="dxa" w:w="120"/>
              <w:bottom w:type="dxa" w:w="80"/>
              <w:right w:type="dxa" w:w="120"/>
            </w:tcMar>
            <w:vAlign w:val="center"/>
          </w:tcPr>
          <w:p>
            <w:pPr>
              <w:jc w:val="left"/>
            </w:pPr>
            <w:r>
              <w:rPr>
                <w:b/>
                <w:bCs/>
              </w:rPr>
              <w:t xml:space="preserve">Completeness &amp; Traceability Checker</w:t>
            </w:r>
          </w:p>
        </w:tc>
        <w:tc>
          <w:tcPr>
            <w:tcW w:type="dxa" w:w="7420"/>
            <w:tcMar>
              <w:top w:type="dxa" w:w="80"/>
              <w:left w:type="dxa" w:w="120"/>
              <w:bottom w:type="dxa" w:w="80"/>
              <w:right w:type="dxa" w:w="120"/>
            </w:tcMar>
            <w:vAlign w:val="center"/>
          </w:tcPr>
          <w:p>
            <w:pPr>
              <w:jc w:val="left"/>
            </w:pPr>
            <w:r>
              <w:rPr>
                <w:b w:val="false"/>
                <w:bCs w:val="false"/>
              </w:rPr>
              <w:t xml:space="preserve">Independent validation scripts that audit a generated TDD for missing sections and requirement coverage gaps.</w:t>
            </w:r>
          </w:p>
        </w:tc>
      </w:tr>
      <w:tr>
        <w:tc>
          <w:tcPr>
            <w:tcW w:type="dxa" w:w="2800"/>
            <w:tcMar>
              <w:top w:type="dxa" w:w="80"/>
              <w:left w:type="dxa" w:w="120"/>
              <w:bottom w:type="dxa" w:w="80"/>
              <w:right w:type="dxa" w:w="120"/>
            </w:tcMar>
            <w:vAlign w:val="center"/>
          </w:tcPr>
          <w:p>
            <w:pPr>
              <w:jc w:val="left"/>
            </w:pPr>
            <w:r>
              <w:rPr>
                <w:b/>
                <w:bCs/>
              </w:rPr>
              <w:t xml:space="preserve">Backend API Gateway</w:t>
            </w:r>
          </w:p>
        </w:tc>
        <w:tc>
          <w:tcPr>
            <w:tcW w:type="dxa" w:w="7420"/>
            <w:tcMar>
              <w:top w:type="dxa" w:w="80"/>
              <w:left w:type="dxa" w:w="120"/>
              <w:bottom w:type="dxa" w:w="80"/>
              <w:right w:type="dxa" w:w="120"/>
            </w:tcMar>
            <w:vAlign w:val="center"/>
          </w:tcPr>
          <w:p>
            <w:pPr>
              <w:jc w:val="left"/>
            </w:pPr>
            <w:r>
              <w:rPr>
                <w:b w:val="false"/>
                <w:bCs w:val="false"/>
              </w:rPr>
              <w:t xml:space="preserve">Express routes for file upload, TDD generation requests, and TDD retrieval (JSON/Markdown), plus PDF export and schema validation.</w:t>
            </w:r>
          </w:p>
        </w:tc>
      </w:tr>
      <w:tr>
        <w:tc>
          <w:tcPr>
            <w:tcW w:type="dxa" w:w="2800"/>
            <w:tcMar>
              <w:top w:type="dxa" w:w="80"/>
              <w:left w:type="dxa" w:w="120"/>
              <w:bottom w:type="dxa" w:w="80"/>
              <w:right w:type="dxa" w:w="120"/>
            </w:tcMar>
            <w:vAlign w:val="center"/>
          </w:tcPr>
          <w:p>
            <w:pPr>
              <w:jc w:val="left"/>
            </w:pPr>
            <w:r>
              <w:rPr>
                <w:b/>
                <w:bCs/>
              </w:rPr>
              <w:t xml:space="preserve">Frontend UI</w:t>
            </w:r>
          </w:p>
        </w:tc>
        <w:tc>
          <w:tcPr>
            <w:tcW w:type="dxa" w:w="7420"/>
            <w:tcMar>
              <w:top w:type="dxa" w:w="80"/>
              <w:left w:type="dxa" w:w="120"/>
              <w:bottom w:type="dxa" w:w="80"/>
              <w:right w:type="dxa" w:w="120"/>
            </w:tcMar>
            <w:vAlign w:val="center"/>
          </w:tcPr>
          <w:p>
            <w:pPr>
              <w:jc w:val="left"/>
            </w:pPr>
            <w:r>
              <w:rPr>
                <w:b w:val="false"/>
                <w:bCs w:val="false"/>
              </w:rPr>
              <w:t xml:space="preserve">A guided, stepper-based React interface: Upload → Review Extracted Components → Generate → View/Download TDD (an 8-tab viewer covering every TDD section).</w:t>
            </w:r>
          </w:p>
        </w:tc>
      </w:tr>
    </w:tbl>
    <w:p>
      <w:pPr>
        <w:pStyle w:val="Heading1"/>
        <w:spacing w:after="160" w:before="320"/>
      </w:pPr>
      <w:r>
        <w:t xml:space="preserve">7. Technology Stack</w:t>
      </w:r>
    </w:p>
    <w:tbl>
      <w:tblPr>
        <w:tblW w:type="dxa" w:w="10220"/>
        <w:tblBorders>
          <w:top w:val="single" w:color="auto" w:sz="4"/>
          <w:left w:val="single" w:color="auto" w:sz="4"/>
          <w:bottom w:val="single" w:color="auto" w:sz="4"/>
          <w:right w:val="single" w:color="auto" w:sz="4"/>
          <w:insideH w:val="single" w:color="auto" w:sz="4"/>
          <w:insideV w:val="single" w:color="auto" w:sz="4"/>
        </w:tblBorders>
      </w:tblPr>
      <w:tblGrid>
        <w:gridCol w:w="2800"/>
        <w:gridCol w:w="7420"/>
      </w:tblGrid>
      <w:tr>
        <w:trPr>
          <w:tblHeader/>
        </w:trPr>
        <w:tc>
          <w:tcPr>
            <w:tcW w:type="dxa" w:w="2800"/>
            <w:shd w:fill="D9D9D9" w:val="clear"/>
            <w:tcMar>
              <w:top w:type="dxa" w:w="80"/>
              <w:left w:type="dxa" w:w="120"/>
              <w:bottom w:type="dxa" w:w="80"/>
              <w:right w:type="dxa" w:w="120"/>
            </w:tcMar>
            <w:vAlign w:val="center"/>
          </w:tcPr>
          <w:p>
            <w:pPr>
              <w:jc w:val="left"/>
            </w:pPr>
            <w:r>
              <w:rPr>
                <w:b/>
                <w:bCs/>
                <w:color w:val="000000"/>
              </w:rPr>
              <w:t xml:space="preserve">Category</w:t>
            </w:r>
          </w:p>
        </w:tc>
        <w:tc>
          <w:tcPr>
            <w:tcW w:type="dxa" w:w="7420"/>
            <w:shd w:fill="D9D9D9" w:val="clear"/>
            <w:tcMar>
              <w:top w:type="dxa" w:w="80"/>
              <w:left w:type="dxa" w:w="120"/>
              <w:bottom w:type="dxa" w:w="80"/>
              <w:right w:type="dxa" w:w="120"/>
            </w:tcMar>
            <w:vAlign w:val="center"/>
          </w:tcPr>
          <w:p>
            <w:pPr>
              <w:jc w:val="left"/>
            </w:pPr>
            <w:r>
              <w:rPr>
                <w:b/>
                <w:bCs/>
                <w:color w:val="000000"/>
              </w:rPr>
              <w:t xml:space="preserve">Technologies Used</w:t>
            </w:r>
          </w:p>
        </w:tc>
      </w:tr>
      <w:tr>
        <w:tc>
          <w:tcPr>
            <w:tcW w:type="dxa" w:w="2800"/>
            <w:tcMar>
              <w:top w:type="dxa" w:w="80"/>
              <w:left w:type="dxa" w:w="120"/>
              <w:bottom w:type="dxa" w:w="80"/>
              <w:right w:type="dxa" w:w="120"/>
            </w:tcMar>
            <w:vAlign w:val="center"/>
          </w:tcPr>
          <w:p>
            <w:pPr>
              <w:jc w:val="left"/>
            </w:pPr>
            <w:r>
              <w:rPr>
                <w:b/>
                <w:bCs/>
              </w:rPr>
              <w:t xml:space="preserve">Frontend</w:t>
            </w:r>
          </w:p>
        </w:tc>
        <w:tc>
          <w:tcPr>
            <w:tcW w:type="dxa" w:w="7420"/>
            <w:tcMar>
              <w:top w:type="dxa" w:w="80"/>
              <w:left w:type="dxa" w:w="120"/>
              <w:bottom w:type="dxa" w:w="80"/>
              <w:right w:type="dxa" w:w="120"/>
            </w:tcMar>
            <w:vAlign w:val="center"/>
          </w:tcPr>
          <w:p>
            <w:pPr>
              <w:jc w:val="left"/>
            </w:pPr>
            <w:r>
              <w:rPr>
                <w:b w:val="false"/>
                <w:bCs w:val="false"/>
              </w:rPr>
              <w:t xml:space="preserve">React 18, Material UI (MUI) 5, Axios, react-syntax-highlighter</w:t>
            </w:r>
          </w:p>
        </w:tc>
      </w:tr>
      <w:tr>
        <w:tc>
          <w:tcPr>
            <w:tcW w:type="dxa" w:w="2800"/>
            <w:tcMar>
              <w:top w:type="dxa" w:w="80"/>
              <w:left w:type="dxa" w:w="120"/>
              <w:bottom w:type="dxa" w:w="80"/>
              <w:right w:type="dxa" w:w="120"/>
            </w:tcMar>
            <w:vAlign w:val="center"/>
          </w:tcPr>
          <w:p>
            <w:pPr>
              <w:jc w:val="left"/>
            </w:pPr>
            <w:r>
              <w:rPr>
                <w:b/>
                <w:bCs/>
              </w:rPr>
              <w:t xml:space="preserve">Backend</w:t>
            </w:r>
          </w:p>
        </w:tc>
        <w:tc>
          <w:tcPr>
            <w:tcW w:type="dxa" w:w="7420"/>
            <w:tcMar>
              <w:top w:type="dxa" w:w="80"/>
              <w:left w:type="dxa" w:w="120"/>
              <w:bottom w:type="dxa" w:w="80"/>
              <w:right w:type="dxa" w:w="120"/>
            </w:tcMar>
            <w:vAlign w:val="center"/>
          </w:tcPr>
          <w:p>
            <w:pPr>
              <w:jc w:val="left"/>
            </w:pPr>
            <w:r>
              <w:rPr>
                <w:b w:val="false"/>
                <w:bCs w:val="false"/>
              </w:rPr>
              <w:t xml:space="preserve">Node.js, Express.js</w:t>
            </w:r>
          </w:p>
        </w:tc>
      </w:tr>
      <w:tr>
        <w:tc>
          <w:tcPr>
            <w:tcW w:type="dxa" w:w="2800"/>
            <w:tcMar>
              <w:top w:type="dxa" w:w="80"/>
              <w:left w:type="dxa" w:w="120"/>
              <w:bottom w:type="dxa" w:w="80"/>
              <w:right w:type="dxa" w:w="120"/>
            </w:tcMar>
            <w:vAlign w:val="center"/>
          </w:tcPr>
          <w:p>
            <w:pPr>
              <w:jc w:val="left"/>
            </w:pPr>
            <w:r>
              <w:rPr>
                <w:b/>
                <w:bCs/>
              </w:rPr>
              <w:t xml:space="preserve">AI / NLP Microservice</w:t>
            </w:r>
          </w:p>
        </w:tc>
        <w:tc>
          <w:tcPr>
            <w:tcW w:type="dxa" w:w="7420"/>
            <w:tcMar>
              <w:top w:type="dxa" w:w="80"/>
              <w:left w:type="dxa" w:w="120"/>
              <w:bottom w:type="dxa" w:w="80"/>
              <w:right w:type="dxa" w:w="120"/>
            </w:tcMar>
            <w:vAlign w:val="center"/>
          </w:tcPr>
          <w:p>
            <w:pPr>
              <w:jc w:val="left"/>
            </w:pPr>
            <w:r>
              <w:rPr>
                <w:b w:val="false"/>
                <w:bCs w:val="false"/>
              </w:rPr>
              <w:t xml:space="preserve">Python 3.12, FastAPI, spaCy (en_core_web_sm), sentence-transformers (all-MiniLM-L6-v2), NumPy</w:t>
            </w:r>
          </w:p>
        </w:tc>
      </w:tr>
      <w:tr>
        <w:tc>
          <w:tcPr>
            <w:tcW w:type="dxa" w:w="2800"/>
            <w:tcMar>
              <w:top w:type="dxa" w:w="80"/>
              <w:left w:type="dxa" w:w="120"/>
              <w:bottom w:type="dxa" w:w="80"/>
              <w:right w:type="dxa" w:w="120"/>
            </w:tcMar>
            <w:vAlign w:val="center"/>
          </w:tcPr>
          <w:p>
            <w:pPr>
              <w:jc w:val="left"/>
            </w:pPr>
            <w:r>
              <w:rPr>
                <w:b/>
                <w:bCs/>
              </w:rPr>
              <w:t xml:space="preserve">Generative AI</w:t>
            </w:r>
          </w:p>
        </w:tc>
        <w:tc>
          <w:tcPr>
            <w:tcW w:type="dxa" w:w="7420"/>
            <w:tcMar>
              <w:top w:type="dxa" w:w="80"/>
              <w:left w:type="dxa" w:w="120"/>
              <w:bottom w:type="dxa" w:w="80"/>
              <w:right w:type="dxa" w:w="120"/>
            </w:tcMar>
            <w:vAlign w:val="center"/>
          </w:tcPr>
          <w:p>
            <w:pPr>
              <w:jc w:val="left"/>
            </w:pPr>
            <w:r>
              <w:rPr>
                <w:b w:val="false"/>
                <w:bCs w:val="false"/>
              </w:rPr>
              <w:t xml:space="preserve">Anthropic Claude (claude-haiku-4-5, 200K context) via the Anthropic API; Groq (openai/gpt-oss-20b) for the MCP multi-tool pipeline</w:t>
            </w:r>
          </w:p>
        </w:tc>
      </w:tr>
      <w:tr>
        <w:tc>
          <w:tcPr>
            <w:tcW w:type="dxa" w:w="2800"/>
            <w:tcMar>
              <w:top w:type="dxa" w:w="80"/>
              <w:left w:type="dxa" w:w="120"/>
              <w:bottom w:type="dxa" w:w="80"/>
              <w:right w:type="dxa" w:w="120"/>
            </w:tcMar>
            <w:vAlign w:val="center"/>
          </w:tcPr>
          <w:p>
            <w:pPr>
              <w:jc w:val="left"/>
            </w:pPr>
            <w:r>
              <w:rPr>
                <w:b/>
                <w:bCs/>
              </w:rPr>
              <w:t xml:space="preserve">Document Processing</w:t>
            </w:r>
          </w:p>
        </w:tc>
        <w:tc>
          <w:tcPr>
            <w:tcW w:type="dxa" w:w="7420"/>
            <w:tcMar>
              <w:top w:type="dxa" w:w="80"/>
              <w:left w:type="dxa" w:w="120"/>
              <w:bottom w:type="dxa" w:w="80"/>
              <w:right w:type="dxa" w:w="120"/>
            </w:tcMar>
            <w:vAlign w:val="center"/>
          </w:tcPr>
          <w:p>
            <w:pPr>
              <w:jc w:val="left"/>
            </w:pPr>
            <w:r>
              <w:rPr>
                <w:b w:val="false"/>
                <w:bCs w:val="false"/>
              </w:rPr>
              <w:t xml:space="preserve">PyPDF2, python-docx</w:t>
            </w:r>
          </w:p>
        </w:tc>
      </w:tr>
      <w:tr>
        <w:tc>
          <w:tcPr>
            <w:tcW w:type="dxa" w:w="2800"/>
            <w:tcMar>
              <w:top w:type="dxa" w:w="80"/>
              <w:left w:type="dxa" w:w="120"/>
              <w:bottom w:type="dxa" w:w="80"/>
              <w:right w:type="dxa" w:w="120"/>
            </w:tcMar>
            <w:vAlign w:val="center"/>
          </w:tcPr>
          <w:p>
            <w:pPr>
              <w:jc w:val="left"/>
            </w:pPr>
            <w:r>
              <w:rPr>
                <w:b/>
                <w:bCs/>
              </w:rPr>
              <w:t xml:space="preserve">Diagramming</w:t>
            </w:r>
          </w:p>
        </w:tc>
        <w:tc>
          <w:tcPr>
            <w:tcW w:type="dxa" w:w="7420"/>
            <w:tcMar>
              <w:top w:type="dxa" w:w="80"/>
              <w:left w:type="dxa" w:w="120"/>
              <w:bottom w:type="dxa" w:w="80"/>
              <w:right w:type="dxa" w:w="120"/>
            </w:tcMar>
            <w:vAlign w:val="center"/>
          </w:tcPr>
          <w:p>
            <w:pPr>
              <w:jc w:val="left"/>
            </w:pPr>
            <w:r>
              <w:rPr>
                <w:b w:val="false"/>
                <w:bCs w:val="false"/>
              </w:rPr>
              <w:t xml:space="preserve">Mermaid.js (architecture, ER, sequence, and deployment diagrams)</w:t>
            </w:r>
          </w:p>
        </w:tc>
      </w:tr>
      <w:tr>
        <w:tc>
          <w:tcPr>
            <w:tcW w:type="dxa" w:w="2800"/>
            <w:tcMar>
              <w:top w:type="dxa" w:w="80"/>
              <w:left w:type="dxa" w:w="120"/>
              <w:bottom w:type="dxa" w:w="80"/>
              <w:right w:type="dxa" w:w="120"/>
            </w:tcMar>
            <w:vAlign w:val="center"/>
          </w:tcPr>
          <w:p>
            <w:pPr>
              <w:jc w:val="left"/>
            </w:pPr>
            <w:r>
              <w:rPr>
                <w:b/>
                <w:bCs/>
              </w:rPr>
              <w:t xml:space="preserve">Containerization</w:t>
            </w:r>
          </w:p>
        </w:tc>
        <w:tc>
          <w:tcPr>
            <w:tcW w:type="dxa" w:w="7420"/>
            <w:tcMar>
              <w:top w:type="dxa" w:w="80"/>
              <w:left w:type="dxa" w:w="120"/>
              <w:bottom w:type="dxa" w:w="80"/>
              <w:right w:type="dxa" w:w="120"/>
            </w:tcMar>
            <w:vAlign w:val="center"/>
          </w:tcPr>
          <w:p>
            <w:pPr>
              <w:jc w:val="left"/>
            </w:pPr>
            <w:r>
              <w:rPr>
                <w:b w:val="false"/>
                <w:bCs w:val="false"/>
              </w:rPr>
              <w:t xml:space="preserve">Docker, Docker Compose</w:t>
            </w:r>
          </w:p>
        </w:tc>
      </w:tr>
      <w:tr>
        <w:tc>
          <w:tcPr>
            <w:tcW w:type="dxa" w:w="2800"/>
            <w:tcMar>
              <w:top w:type="dxa" w:w="80"/>
              <w:left w:type="dxa" w:w="120"/>
              <w:bottom w:type="dxa" w:w="80"/>
              <w:right w:type="dxa" w:w="120"/>
            </w:tcMar>
            <w:vAlign w:val="center"/>
          </w:tcPr>
          <w:p>
            <w:pPr>
              <w:jc w:val="left"/>
            </w:pPr>
            <w:r>
              <w:rPr>
                <w:b/>
                <w:bCs/>
              </w:rPr>
              <w:t xml:space="preserve">API Documentation</w:t>
            </w:r>
          </w:p>
        </w:tc>
        <w:tc>
          <w:tcPr>
            <w:tcW w:type="dxa" w:w="7420"/>
            <w:tcMar>
              <w:top w:type="dxa" w:w="80"/>
              <w:left w:type="dxa" w:w="120"/>
              <w:bottom w:type="dxa" w:w="80"/>
              <w:right w:type="dxa" w:w="120"/>
            </w:tcMar>
            <w:vAlign w:val="center"/>
          </w:tcPr>
          <w:p>
            <w:pPr>
              <w:jc w:val="left"/>
            </w:pPr>
            <w:r>
              <w:rPr>
                <w:b w:val="false"/>
                <w:bCs w:val="false"/>
              </w:rPr>
              <w:t xml:space="preserve">Auto-generated OpenAPI 3.0 specification</w:t>
            </w:r>
          </w:p>
        </w:tc>
      </w:tr>
    </w:tbl>
    <w:p>
      <w:pPr>
        <w:pStyle w:val="Heading1"/>
        <w:spacing w:after="160" w:before="320"/>
      </w:pPr>
      <w:r>
        <w:t xml:space="preserve">8. Application Workflow</w:t>
      </w:r>
    </w:p>
    <w:p>
      <w:pPr>
        <w:pStyle w:val="ListParagraph"/>
        <w:numPr>
          <w:ilvl w:val="0"/>
          <w:numId w:val="3"/>
        </w:numPr>
        <w:spacing w:after="80" w:line="276"/>
      </w:pPr>
      <w:r>
        <w:t xml:space="preserve">The user uploads an FDD file (PDF, DOCX, or Markdown) through the React frontend.</w:t>
      </w:r>
    </w:p>
    <w:p>
      <w:pPr>
        <w:pStyle w:val="ListParagraph"/>
        <w:numPr>
          <w:ilvl w:val="0"/>
          <w:numId w:val="3"/>
        </w:numPr>
        <w:spacing w:after="80" w:line="276"/>
      </w:pPr>
      <w:r>
        <w:t xml:space="preserve">The backend stores the file and forwards it to the AI microservice for parsing.</w:t>
      </w:r>
    </w:p>
    <w:p>
      <w:pPr>
        <w:pStyle w:val="ListParagraph"/>
        <w:numPr>
          <w:ilvl w:val="0"/>
          <w:numId w:val="3"/>
        </w:numPr>
        <w:spacing w:after="80" w:line="276"/>
      </w:pPr>
      <w:r>
        <w:t xml:space="preserve">The AI microservice extracts raw text and runs the NLP pipeline; the extracted requirements, actors, entities, workflows, and business rules are displayed to the user for review.</w:t>
      </w:r>
    </w:p>
    <w:p>
      <w:pPr>
        <w:pStyle w:val="ListParagraph"/>
        <w:numPr>
          <w:ilvl w:val="0"/>
          <w:numId w:val="3"/>
        </w:numPr>
        <w:spacing w:after="80" w:line="276"/>
      </w:pPr>
      <w:r>
        <w:t xml:space="preserve">On confirmation, the user triggers TDD generation; the extracted data (and, for long documents, retrieval-selected context) is sent to the LLM.</w:t>
      </w:r>
    </w:p>
    <w:p>
      <w:pPr>
        <w:pStyle w:val="ListParagraph"/>
        <w:numPr>
          <w:ilvl w:val="0"/>
          <w:numId w:val="3"/>
        </w:numPr>
        <w:spacing w:after="80" w:line="276"/>
      </w:pPr>
      <w:r>
        <w:t xml:space="preserve">The LLM returns a structured TDD covering introduction, system architecture, data model, API design, component architecture, non-functional requirements, and deployment architecture.</w:t>
      </w:r>
    </w:p>
    <w:p>
      <w:pPr>
        <w:pStyle w:val="ListParagraph"/>
        <w:numPr>
          <w:ilvl w:val="0"/>
          <w:numId w:val="3"/>
        </w:numPr>
        <w:spacing w:after="80" w:line="276"/>
      </w:pPr>
      <w:r>
        <w:t xml:space="preserve">The traceability builder cross-references the original requirements against the generated TDD and appends a traceability matrix with a coverage score.</w:t>
      </w:r>
    </w:p>
    <w:p>
      <w:pPr>
        <w:pStyle w:val="ListParagraph"/>
        <w:numPr>
          <w:ilvl w:val="0"/>
          <w:numId w:val="3"/>
        </w:numPr>
        <w:spacing w:after="80" w:line="276"/>
      </w:pPr>
      <w:r>
        <w:t xml:space="preserve">The completed TDD is presented in an 8-tab viewer in the frontend and can be downloaded as JSON, Markdown, or PDF; an OpenAPI specification and diagrams can also be generated on demand.</w:t>
      </w:r>
    </w:p>
    <w:p>
      <w:pPr>
        <w:pStyle w:val="Heading1"/>
        <w:spacing w:after="160" w:before="320"/>
      </w:pPr>
      <w:r>
        <w:t xml:space="preserve">9. Testing and Validation</w:t>
      </w:r>
    </w:p>
    <w:p>
      <w:pPr>
        <w:spacing w:after="160" w:line="276"/>
        <w:jc w:val="both"/>
      </w:pPr>
      <w:r>
        <w:t xml:space="preserve">In addition to the generation pipeline, the project includes a dedicated testing module that evaluates the quality of generated TDDs:</w:t>
      </w:r>
    </w:p>
    <w:p>
      <w:pPr>
        <w:pStyle w:val="ListParagraph"/>
        <w:numPr>
          <w:ilvl w:val="0"/>
          <w:numId w:val="2"/>
        </w:numPr>
        <w:spacing w:after="80" w:line="276"/>
      </w:pPr>
      <w:r>
        <w:t xml:space="preserve">Completeness Checker — verifies that every expected TDD section and sub-field is present and non-empty.</w:t>
      </w:r>
    </w:p>
    <w:p>
      <w:pPr>
        <w:pStyle w:val="ListParagraph"/>
        <w:numPr>
          <w:ilvl w:val="0"/>
          <w:numId w:val="2"/>
        </w:numPr>
        <w:spacing w:after="80" w:line="276"/>
      </w:pPr>
      <w:r>
        <w:t xml:space="preserve">Traceability Report — independently recomputes requirement-to-artifact coverage and flags any FDD requirement left unaddressed in the generated TDD.</w:t>
      </w:r>
    </w:p>
    <w:p>
      <w:pPr>
        <w:pStyle w:val="ListParagraph"/>
        <w:numPr>
          <w:ilvl w:val="0"/>
          <w:numId w:val="2"/>
        </w:numPr>
        <w:spacing w:after="80" w:line="276"/>
      </w:pPr>
      <w:r>
        <w:t xml:space="preserve">Performance Metrics — measures pipeline stage timings (parsing, NLP extraction, generation, traceability building) to identify bottlenecks.</w:t>
      </w:r>
    </w:p>
    <w:p>
      <w:pPr>
        <w:spacing w:after="160" w:line="276"/>
        <w:jc w:val="both"/>
      </w:pPr>
      <w:r>
        <w:t xml:space="preserve">A sample FDD for a Learning Management System (example_fdd.md) is included as a reference test case, along with its expected TDD output structure (example_tdd_output.json), enabling repeatable end-to-end verification of the pipeline.</w:t>
      </w:r>
    </w:p>
    <w:p>
      <w:pPr>
        <w:pStyle w:val="Heading1"/>
        <w:spacing w:after="160" w:before="320"/>
      </w:pPr>
      <w:r>
        <w:t xml:space="preserve">10. Future Enhancements</w:t>
      </w:r>
    </w:p>
    <w:p>
      <w:pPr>
        <w:pStyle w:val="ListParagraph"/>
        <w:numPr>
          <w:ilvl w:val="0"/>
          <w:numId w:val="2"/>
        </w:numPr>
        <w:spacing w:after="80" w:line="276"/>
      </w:pPr>
      <w:r>
        <w:t xml:space="preserve">Support for multiple concurrent users with authentication and project/document history.</w:t>
      </w:r>
    </w:p>
    <w:p>
      <w:pPr>
        <w:pStyle w:val="ListParagraph"/>
        <w:numPr>
          <w:ilvl w:val="0"/>
          <w:numId w:val="2"/>
        </w:numPr>
        <w:spacing w:after="80" w:line="276"/>
      </w:pPr>
      <w:r>
        <w:t xml:space="preserve">Version control and diffing between successive TDD generations for the same project.</w:t>
      </w:r>
    </w:p>
    <w:p>
      <w:pPr>
        <w:pStyle w:val="ListParagraph"/>
        <w:numPr>
          <w:ilvl w:val="0"/>
          <w:numId w:val="2"/>
        </w:numPr>
        <w:spacing w:after="80" w:line="276"/>
      </w:pPr>
      <w:r>
        <w:t xml:space="preserve">Direct export/integration with project management and documentation tools (e.g., Jira, Confluence).</w:t>
      </w:r>
    </w:p>
    <w:p>
      <w:pPr>
        <w:pStyle w:val="ListParagraph"/>
        <w:numPr>
          <w:ilvl w:val="0"/>
          <w:numId w:val="2"/>
        </w:numPr>
        <w:spacing w:after="80" w:line="276"/>
      </w:pPr>
      <w:r>
        <w:t xml:space="preserve">Support for additional input formats (e.g., Confluence exports, plain text requirement lists).</w:t>
      </w:r>
    </w:p>
    <w:p>
      <w:pPr>
        <w:pStyle w:val="ListParagraph"/>
        <w:numPr>
          <w:ilvl w:val="0"/>
          <w:numId w:val="2"/>
        </w:numPr>
        <w:spacing w:after="80" w:line="276"/>
      </w:pPr>
      <w:r>
        <w:t xml:space="preserve">A feedback loop allowing users to correct/refine AI-generated sections, with the corrections used to improve future prompts.</w:t>
      </w:r>
    </w:p>
    <w:p>
      <w:pPr>
        <w:pStyle w:val="ListParagraph"/>
        <w:numPr>
          <w:ilvl w:val="0"/>
          <w:numId w:val="2"/>
        </w:numPr>
        <w:spacing w:after="80" w:line="276"/>
      </w:pPr>
      <w:r>
        <w:t xml:space="preserve">Persisting embeddings in a proper vector database to support cross-document retrieval as usage scales beyond a single FDD at a time.</w:t>
      </w:r>
    </w:p>
    <w:p>
      <w:pPr>
        <w:pStyle w:val="Heading1"/>
        <w:spacing w:after="160" w:before="320"/>
      </w:pPr>
      <w:r>
        <w:t xml:space="preserve">11. Conclusion</w:t>
      </w:r>
    </w:p>
    <w:p>
      <w:pPr>
        <w:spacing w:after="160" w:line="276"/>
        <w:jc w:val="both"/>
      </w:pPr>
      <w:r>
        <w:t xml:space="preserve">The FDD-to-TDD Converter demonstrates a practical application of Natural Language Processing and generative AI to a real software engineering bottleneck: the manual, error-prone translation of functional requirements into technical design. By combining a structured NLP extraction pipeline, LLM-based generation with a strictly enforced schema, and an automated traceability mechanism, the system produces technical design documentation that is both comprehensive and verifiably linked back to the original business requirements. The modular, microservice-based architecture also makes the system extensible — new generation strategies (such as the MCP-based multi-tool pipeline) can be added without disrupting the existing flow, positioning the project as a foundation for further research into AI-assisted software design automation.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0000" w:sz="6" w:space="4"/>
      </w:pBdr>
      <w:spacing w:after="160" w:before="320"/>
    </w:pPr>
    <w:rPr>
      <w:rFonts w:ascii="Calibri" w:cs="Calibri" w:eastAsia="Calibri" w:hAnsi="Calibri"/>
      <w:b/>
      <w:bCs/>
      <w:color w:val="000000"/>
      <w:sz w:val="30"/>
      <w:szCs w:val="30"/>
    </w:rPr>
  </w:style>
  <w:style w:type="paragraph" w:styleId="Heading2">
    <w:name w:val="Heading 2"/>
    <w:basedOn w:val="Normal"/>
    <w:next w:val="Normal"/>
    <w:qFormat/>
    <w:pPr>
      <w:spacing w:after="120" w:before="220"/>
    </w:pPr>
    <w:rPr>
      <w:rFonts w:ascii="Calibri" w:cs="Calibri" w:eastAsia="Calibri" w:hAnsi="Calibri"/>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2026-09-20T18:58:31.745Z</dcterms:created>
  <dcterms:modified xsi:type="dcterms:W3CDTF">2026-09-20T18:58:31.745Z</dcterms:modified>
</cp:coreProperties>
</file>

<file path=docProps/custom.xml><?xml version="1.0" encoding="utf-8"?>
<Properties xmlns="http://schemas.openxmlformats.org/officeDocument/2006/custom-properties" xmlns:vt="http://schemas.openxmlformats.org/officeDocument/2006/docPropsVTypes"/>
</file>