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200"/>
        <w:jc w:val="center"/>
      </w:pPr>
      <w:r>
        <w:rPr>
          <w:rFonts w:ascii="Arial" w:cs="Arial" w:eastAsia="Arial" w:hAnsi="Arial"/>
          <w:b/>
          <w:bCs/>
          <w:color w:val="1F4E79"/>
          <w:sz w:val="52"/>
          <w:szCs w:val="52"/>
        </w:rPr>
        <w:t xml:space="preserve">TELCO CUSTOMER CHURN ANALYSIS</w:t>
      </w:r>
    </w:p>
    <w:p>
      <w:pPr>
        <w:spacing w:before="0" w:after="160"/>
        <w:jc w:val="center"/>
      </w:pPr>
      <w:r>
        <w:rPr>
          <w:rFonts w:ascii="Arial" w:cs="Arial" w:eastAsia="Arial" w:hAnsi="Arial"/>
          <w:color w:val="2E75B6"/>
          <w:sz w:val="28"/>
          <w:szCs w:val="28"/>
        </w:rPr>
        <w:t xml:space="preserve">End-to-End SQL + Power BI Portfolio Project</w:t>
      </w:r>
    </w:p>
    <w:p>
      <w:pPr>
        <w:pBdr>
          <w:bottom w:val="single" w:color="2E75B6" w:sz="12" w:space="4"/>
        </w:pBdr>
        <w:spacing w:before="0" w:after="400"/>
        <w:jc w:val="center"/>
      </w:pPr>
      <w:r>
        <w:rPr>
          <w:rFonts w:ascii="Arial" w:cs="Arial" w:eastAsia="Arial" w:hAnsi="Arial"/>
          <w:sz w:val="22"/>
          <w:szCs w:val="22"/>
        </w:rPr>
        <w:t xml:space="preserve"> </w:t>
      </w:r>
    </w:p>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Author</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[Your Name]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Dataset</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IBM Telco Customer Churn — Kaggle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Records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7,043 customers · 21 columns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Database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MySQL 8.0</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BI Tool</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Microsoft Power BI Desktop + Service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Date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2025</w:t>
            </w:r>
          </w:p>
        </w:tc>
      </w:tr>
    </w:tbl>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1. Executive Summary</w:t>
      </w:r>
    </w:p>
    <w:p>
      <w:pPr>
        <w:spacing w:before="80" w:after="100"/>
      </w:pPr>
      <w:r>
        <w:rPr>
          <w:rFonts w:ascii="Arial" w:cs="Arial" w:eastAsia="Arial" w:hAnsi="Arial"/>
          <w:color w:val="404040"/>
          <w:sz w:val="22"/>
          <w:szCs w:val="22"/>
        </w:rPr>
        <w:t xml:space="preserve">A telecom company is losing customers at a rate that is costing it over $139,000 in monthly recurring revenue. This project was built to answer the questions a product manager and data team would bring to a quarterly business review: which customers are churning, when in the customer lifecycle does it happen, and what is the dollar cost of any proposed intervention.</w:t>
      </w:r>
    </w:p>
    <w:p>
      <w:pPr>
        <w:spacing w:before="0" w:after="120"/>
      </w:pPr>
      <w:r>
        <w:t xml:space="preserve"/>
      </w:r>
    </w:p>
    <w:p>
      <w:pPr>
        <w:spacing w:before="80" w:after="100"/>
      </w:pPr>
      <w:r>
        <w:rPr>
          <w:rFonts w:ascii="Arial" w:cs="Arial" w:eastAsia="Arial" w:hAnsi="Arial"/>
          <w:color w:val="404040"/>
          <w:sz w:val="22"/>
          <w:szCs w:val="22"/>
        </w:rPr>
        <w:t xml:space="preserve">Using the IBM Telco Customer Churn dataset (7,043 customers), a normalised 4-table MySQL database was designed and built from scratch, 25 SQL queries were written across three analysis scripts covering churn segmentation, cohort analysis, and revenue modelling, and the findings were visualised in a Power BI dashboard published for stakeholder access.</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Top 3 Findings</w:t>
      </w:r>
    </w:p>
    <w:p>
      <w:pPr>
        <w:pStyle w:val="ListParagraph"/>
        <w:numPr>
          <w:ilvl w:val="0"/>
          <w:numId w:val="2"/>
        </w:numPr>
        <w:spacing w:before="60" w:after="60"/>
      </w:pPr>
      <w:r>
        <w:rPr>
          <w:rFonts w:ascii="Arial" w:cs="Arial" w:eastAsia="Arial" w:hAnsi="Arial"/>
          <w:b/>
          <w:bCs/>
          <w:color w:val="404040"/>
          <w:sz w:val="22"/>
          <w:szCs w:val="22"/>
        </w:rPr>
        <w:t xml:space="preserve">Finding 1: </w:t>
      </w:r>
      <w:r>
        <w:rPr>
          <w:rFonts w:ascii="Arial" w:cs="Arial" w:eastAsia="Arial" w:hAnsi="Arial"/>
          <w:color w:val="404040"/>
          <w:sz w:val="22"/>
          <w:szCs w:val="22"/>
        </w:rPr>
        <w:t xml:space="preserve">Month-to-month customers churn at 42.71% — 15x higher than two-year contract customers at 2.83%. Contract type is the single strongest predictor of churn in the dataset.</w:t>
      </w:r>
    </w:p>
    <w:p>
      <w:pPr>
        <w:pStyle w:val="ListParagraph"/>
        <w:numPr>
          <w:ilvl w:val="0"/>
          <w:numId w:val="2"/>
        </w:numPr>
        <w:spacing w:before="60" w:after="60"/>
      </w:pPr>
      <w:r>
        <w:rPr>
          <w:rFonts w:ascii="Arial" w:cs="Arial" w:eastAsia="Arial" w:hAnsi="Arial"/>
          <w:b/>
          <w:bCs/>
          <w:color w:val="404040"/>
          <w:sz w:val="22"/>
          <w:szCs w:val="22"/>
        </w:rPr>
        <w:t xml:space="preserve">Finding 2: </w:t>
      </w:r>
      <w:r>
        <w:rPr>
          <w:rFonts w:ascii="Arial" w:cs="Arial" w:eastAsia="Arial" w:hAnsi="Arial"/>
          <w:color w:val="404040"/>
          <w:sz w:val="22"/>
          <w:szCs w:val="22"/>
        </w:rPr>
        <w:t xml:space="preserve">47.68% of churn happens in the first 12 months of tenure. If a customer survives their first year, their churn probability drops by more than half. This points directly to an onboarding and early engagement problem.</w:t>
      </w:r>
    </w:p>
    <w:p>
      <w:pPr>
        <w:pStyle w:val="ListParagraph"/>
        <w:numPr>
          <w:ilvl w:val="0"/>
          <w:numId w:val="2"/>
        </w:numPr>
        <w:spacing w:before="60" w:after="60"/>
      </w:pPr>
      <w:r>
        <w:rPr>
          <w:rFonts w:ascii="Arial" w:cs="Arial" w:eastAsia="Arial" w:hAnsi="Arial"/>
          <w:b/>
          <w:bCs/>
          <w:color w:val="404040"/>
          <w:sz w:val="22"/>
          <w:szCs w:val="22"/>
        </w:rPr>
        <w:t xml:space="preserve">Finding 3: </w:t>
      </w:r>
      <w:r>
        <w:rPr>
          <w:rFonts w:ascii="Arial" w:cs="Arial" w:eastAsia="Arial" w:hAnsi="Arial"/>
          <w:color w:val="404040"/>
          <w:sz w:val="22"/>
          <w:szCs w:val="22"/>
        </w:rPr>
        <w:t xml:space="preserve">The company's most expensive product — fiber optic internet at $91.49/month average — churns at 41.89%, more than double the DSL rate. Premium customers are the most dissatisfied.</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Primary Business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before="0" w:after="60"/>
            </w:pPr>
            <w:r>
              <w:rPr>
                <w:rFonts w:ascii="Arial" w:cs="Arial" w:eastAsia="Arial" w:hAnsi="Arial"/>
                <w:b/>
                <w:bCs/>
                <w:color w:val="404040"/>
                <w:sz w:val="20"/>
                <w:szCs w:val="20"/>
              </w:rPr>
              <w:t xml:space="preserve">Highest-impact retention intervention</w:t>
            </w:r>
          </w:p>
          <w:p>
            <w:pPr>
              <w:spacing w:before="0" w:after="0"/>
            </w:pPr>
            <w:r>
              <w:rPr>
                <w:rFonts w:ascii="Arial" w:cs="Arial" w:eastAsia="Arial" w:hAnsi="Arial"/>
                <w:color w:val="404040"/>
                <w:sz w:val="20"/>
                <w:szCs w:val="20"/>
              </w:rPr>
              <w:t xml:space="preserve">Target the 586 customers on month-to-month contracts + fiber optic + electronic check payment. This single segment churns at 64.41%. A focused campaign combining an auto-pay incentive, annual plan discount offer, and proactive support outreach — costing a fraction of the $139K monthly loss — would produce measurable results within one quarter.</w:t>
            </w:r>
          </w:p>
        </w:tc>
      </w:tr>
    </w:tbl>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2. Project Structure and Tools</w:t>
      </w:r>
    </w:p>
    <w:p>
      <w:pPr>
        <w:spacing w:before="80" w:after="100"/>
      </w:pPr>
      <w:r>
        <w:rPr>
          <w:rFonts w:ascii="Arial" w:cs="Arial" w:eastAsia="Arial" w:hAnsi="Arial"/>
          <w:color w:val="404040"/>
          <w:sz w:val="22"/>
          <w:szCs w:val="22"/>
        </w:rPr>
        <w:t xml:space="preserve">The project is organised into four layers, each building on the last: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2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1 — Data foundation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MySQL 8.0 + Workbench</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4 normalised tables + view</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Schema design, data loading, cleaning</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2 — SQL analysis</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MySQL 8.0</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3 .sql files, 25 queries</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Churn segmentation, cohort analysis, revenue modelling</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3 — Visualisation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Power BI Desktop + Service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Live dashboard</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Business intelligence, stakeholder reporting</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4 — Documentation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Word, draw.io, GitHub</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This document + README</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Portfolio presentation, reproducibility</w:t>
            </w:r>
          </w:p>
        </w:tc>
      </w:tr>
    </w:tbl>
    <w:p>
      <w:pPr>
        <w:spacing w:before="0" w:after="120"/>
      </w:pPr>
      <w:r>
        <w:t xml:space="preserve"/>
      </w:r>
    </w:p>
    <w:p>
      <w:pPr>
        <w:pStyle w:val="Heading2"/>
        <w:spacing w:before="280" w:after="120"/>
      </w:pPr>
      <w:r>
        <w:rPr>
          <w:rFonts w:ascii="Arial" w:cs="Arial" w:eastAsia="Arial" w:hAnsi="Arial"/>
          <w:b/>
          <w:bCs/>
          <w:color w:val="2E75B6"/>
          <w:sz w:val="26"/>
          <w:szCs w:val="26"/>
        </w:rPr>
        <w:t xml:space="preserve">GitHub Repository Structure</w:t>
      </w:r>
    </w:p>
    <w:p>
      <w:pPr>
        <w:spacing w:before="80" w:after="100"/>
      </w:pPr>
      <w:r>
        <w:rPr>
          <w:rFonts w:ascii="Arial" w:cs="Arial" w:eastAsia="Arial" w:hAnsi="Arial"/>
          <w:color w:val="404040"/>
          <w:sz w:val="22"/>
          <w:szCs w:val="22"/>
        </w:rPr>
        <w:t xml:space="preserve">All project files are version-controlled and publicly available:</w:t>
      </w:r>
    </w:p>
    <w:p>
      <w:pPr>
        <w:pStyle w:val="ListParagraph"/>
        <w:numPr>
          <w:ilvl w:val="0"/>
          <w:numId w:val="2"/>
        </w:numPr>
        <w:spacing w:before="60" w:after="60"/>
      </w:pPr>
      <w:r>
        <w:rPr>
          <w:rFonts w:ascii="Arial" w:cs="Arial" w:eastAsia="Arial" w:hAnsi="Arial"/>
          <w:color w:val="404040"/>
          <w:sz w:val="22"/>
          <w:szCs w:val="22"/>
        </w:rPr>
        <w:t xml:space="preserve">schema/01_create_tables.sql — database, all 4 tables, staging table, constraints</w:t>
      </w:r>
    </w:p>
    <w:p>
      <w:pPr>
        <w:pStyle w:val="ListParagraph"/>
        <w:numPr>
          <w:ilvl w:val="0"/>
          <w:numId w:val="2"/>
        </w:numPr>
        <w:spacing w:before="60" w:after="60"/>
      </w:pPr>
      <w:r>
        <w:rPr>
          <w:rFonts w:ascii="Arial" w:cs="Arial" w:eastAsia="Arial" w:hAnsi="Arial"/>
          <w:color w:val="404040"/>
          <w:sz w:val="22"/>
          <w:szCs w:val="22"/>
        </w:rPr>
        <w:t xml:space="preserve">schema/02_load_data.sql — data cleaning, type casting, imputation, verification</w:t>
      </w:r>
    </w:p>
    <w:p>
      <w:pPr>
        <w:pStyle w:val="ListParagraph"/>
        <w:numPr>
          <w:ilvl w:val="0"/>
          <w:numId w:val="2"/>
        </w:numPr>
        <w:spacing w:before="60" w:after="60"/>
      </w:pPr>
      <w:r>
        <w:rPr>
          <w:rFonts w:ascii="Arial" w:cs="Arial" w:eastAsia="Arial" w:hAnsi="Arial"/>
          <w:color w:val="404040"/>
          <w:sz w:val="22"/>
          <w:szCs w:val="22"/>
        </w:rPr>
        <w:t xml:space="preserve">schema/erd_diagram.png — entity relationship diagram exported from draw.io</w:t>
      </w:r>
    </w:p>
    <w:p>
      <w:pPr>
        <w:pStyle w:val="ListParagraph"/>
        <w:numPr>
          <w:ilvl w:val="0"/>
          <w:numId w:val="2"/>
        </w:numPr>
        <w:spacing w:before="60" w:after="60"/>
      </w:pPr>
      <w:r>
        <w:rPr>
          <w:rFonts w:ascii="Arial" w:cs="Arial" w:eastAsia="Arial" w:hAnsi="Arial"/>
          <w:color w:val="404040"/>
          <w:sz w:val="22"/>
          <w:szCs w:val="22"/>
        </w:rPr>
        <w:t xml:space="preserve">analysis/03_churn_analysis.sql — 10 queries: core churn segmentation</w:t>
      </w:r>
    </w:p>
    <w:p>
      <w:pPr>
        <w:pStyle w:val="ListParagraph"/>
        <w:numPr>
          <w:ilvl w:val="0"/>
          <w:numId w:val="2"/>
        </w:numPr>
        <w:spacing w:before="60" w:after="60"/>
      </w:pPr>
      <w:r>
        <w:rPr>
          <w:rFonts w:ascii="Arial" w:cs="Arial" w:eastAsia="Arial" w:hAnsi="Arial"/>
          <w:color w:val="404040"/>
          <w:sz w:val="22"/>
          <w:szCs w:val="22"/>
        </w:rPr>
        <w:t xml:space="preserve">analysis/04_cohort_analysis.sql — 8 queries: window functions, CTEs, ranking</w:t>
      </w:r>
    </w:p>
    <w:p>
      <w:pPr>
        <w:pStyle w:val="ListParagraph"/>
        <w:numPr>
          <w:ilvl w:val="0"/>
          <w:numId w:val="2"/>
        </w:numPr>
        <w:spacing w:before="60" w:after="60"/>
      </w:pPr>
      <w:r>
        <w:rPr>
          <w:rFonts w:ascii="Arial" w:cs="Arial" w:eastAsia="Arial" w:hAnsi="Arial"/>
          <w:color w:val="404040"/>
          <w:sz w:val="22"/>
          <w:szCs w:val="22"/>
        </w:rPr>
        <w:t xml:space="preserve">analysis/05_revenue_at_risk.sql — 7 queries: MRR modelling, stored procedure</w:t>
      </w:r>
    </w:p>
    <w:p>
      <w:pPr>
        <w:pStyle w:val="ListParagraph"/>
        <w:numPr>
          <w:ilvl w:val="0"/>
          <w:numId w:val="2"/>
        </w:numPr>
        <w:spacing w:before="60" w:after="60"/>
      </w:pPr>
      <w:r>
        <w:rPr>
          <w:rFonts w:ascii="Arial" w:cs="Arial" w:eastAsia="Arial" w:hAnsi="Arial"/>
          <w:color w:val="404040"/>
          <w:sz w:val="22"/>
          <w:szCs w:val="22"/>
        </w:rPr>
        <w:t xml:space="preserve">dashboard/telco_churn_dashboard.pbix — Power BI file</w:t>
      </w:r>
    </w:p>
    <w:p>
      <w:pPr>
        <w:pStyle w:val="ListParagraph"/>
        <w:numPr>
          <w:ilvl w:val="0"/>
          <w:numId w:val="2"/>
        </w:numPr>
        <w:spacing w:before="60" w:after="60"/>
      </w:pPr>
      <w:r>
        <w:rPr>
          <w:rFonts w:ascii="Arial" w:cs="Arial" w:eastAsia="Arial" w:hAnsi="Arial"/>
          <w:color w:val="404040"/>
          <w:sz w:val="22"/>
          <w:szCs w:val="22"/>
        </w:rPr>
        <w:t xml:space="preserve">docs/sql_documentation.docx — this document</w:t>
      </w:r>
    </w:p>
    <w:p>
      <w:pPr>
        <w:pStyle w:val="ListParagraph"/>
        <w:numPr>
          <w:ilvl w:val="0"/>
          <w:numId w:val="2"/>
        </w:numPr>
        <w:spacing w:before="60" w:after="60"/>
      </w:pPr>
      <w:r>
        <w:rPr>
          <w:rFonts w:ascii="Arial" w:cs="Arial" w:eastAsia="Arial" w:hAnsi="Arial"/>
          <w:color w:val="404040"/>
          <w:sz w:val="22"/>
          <w:szCs w:val="22"/>
        </w:rPr>
        <w:t xml:space="preserve">docs/data_dictionary.md — column definitions and business logic notes</w:t>
      </w:r>
    </w:p>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3. Relational Schema Design</w:t>
      </w:r>
    </w:p>
    <w:p>
      <w:pPr>
        <w:spacing w:before="80" w:after="100"/>
      </w:pPr>
      <w:r>
        <w:rPr>
          <w:rFonts w:ascii="Arial" w:cs="Arial" w:eastAsia="Arial" w:hAnsi="Arial"/>
          <w:color w:val="404040"/>
          <w:sz w:val="22"/>
          <w:szCs w:val="22"/>
        </w:rPr>
        <w:t xml:space="preserve">The source data was a single flat CSV file with 21 columns and 7,043 rows. To build a production-quality database, it was normalised into a 4-table relational schema. Each table is responsible for exactly one domain of information and links back to the central customers table via customer_id as a foreign key.</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Schema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400"/>
        <w:gridCol w:w="41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1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Rows</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Key</w:t>
            </w:r>
          </w:p>
        </w:tc>
        <w:tc>
          <w:tcPr>
            <w:tcW w:type="dxa" w:w="4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customers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7,043</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customer_id (PK)</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Demographics: gender, age group, partner, dependents, tenure</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services</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7,043</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customer_id (PK + FK)</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Subscriptions: phone, internet type, all 6 add-on services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contracts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7,043</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customer_id (PK + FK)</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Billing: contract term, payment method, monthly and total charges</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churn</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7,043</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customer_id (PK + FK)</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Target variable: churned = 1, retained = 0</w:t>
            </w:r>
          </w:p>
        </w:tc>
      </w:tr>
    </w:tbl>
    <w:p>
      <w:pPr>
        <w:spacing w:before="0" w:after="120"/>
      </w:pPr>
      <w:r>
        <w:t xml:space="preserve"/>
      </w:r>
    </w:p>
    <w:p>
      <w:pPr>
        <w:spacing w:before="80" w:after="100"/>
      </w:pPr>
      <w:r>
        <w:rPr>
          <w:rFonts w:ascii="Arial" w:cs="Arial" w:eastAsia="Arial" w:hAnsi="Arial"/>
          <w:color w:val="404040"/>
          <w:sz w:val="22"/>
          <w:szCs w:val="22"/>
        </w:rPr>
        <w:t xml:space="preserve">Note: The ERD diagram is available in schema/erd_diagram.png in the GitHub repository. Import it into this document after exporting from draw.io.</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Key Design Decisions</w:t>
      </w:r>
    </w:p>
    <w:p>
      <w:pPr>
        <w:pStyle w:val="ListParagraph"/>
        <w:numPr>
          <w:ilvl w:val="0"/>
          <w:numId w:val="2"/>
        </w:numPr>
        <w:spacing w:before="60" w:after="60"/>
      </w:pPr>
      <w:r>
        <w:rPr>
          <w:rFonts w:ascii="Arial" w:cs="Arial" w:eastAsia="Arial" w:hAnsi="Arial"/>
          <w:color w:val="404040"/>
          <w:sz w:val="22"/>
          <w:szCs w:val="22"/>
        </w:rPr>
        <w:t xml:space="preserve">customer_id is the primary key in all four tables. In customers it is a standalone PK. In all other tables it is simultaneously a PK (ensuring one row per customer) and a FK referencing customers, enforcing referential integrity.</w:t>
      </w:r>
    </w:p>
    <w:p>
      <w:pPr>
        <w:pStyle w:val="ListParagraph"/>
        <w:numPr>
          <w:ilvl w:val="0"/>
          <w:numId w:val="2"/>
        </w:numPr>
        <w:spacing w:before="60" w:after="60"/>
      </w:pPr>
      <w:r>
        <w:rPr>
          <w:rFonts w:ascii="Arial" w:cs="Arial" w:eastAsia="Arial" w:hAnsi="Arial"/>
          <w:color w:val="404040"/>
          <w:sz w:val="22"/>
          <w:szCs w:val="22"/>
        </w:rPr>
        <w:t xml:space="preserve">The churn table is deliberately isolated from the other tables. Keeping the target variable in its own table makes every analysis query self-documenting: JOIN churn ON ... WHERE churned = 1 reads as plain English.</w:t>
      </w:r>
    </w:p>
    <w:p>
      <w:pPr>
        <w:pStyle w:val="ListParagraph"/>
        <w:numPr>
          <w:ilvl w:val="0"/>
          <w:numId w:val="2"/>
        </w:numPr>
        <w:spacing w:before="60" w:after="60"/>
      </w:pPr>
      <w:r>
        <w:rPr>
          <w:rFonts w:ascii="Arial" w:cs="Arial" w:eastAsia="Arial" w:hAnsi="Arial"/>
          <w:color w:val="404040"/>
          <w:sz w:val="22"/>
          <w:szCs w:val="22"/>
        </w:rPr>
        <w:t xml:space="preserve">A view (vw_customer_full) joins all 4 tables once. All 25 analysis queries run on this view rather than repeating the JOIN logic in every script.</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Data Quality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1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Rows</w:t>
            </w:r>
          </w:p>
        </w:tc>
        <w:tc>
          <w:tcPr>
            <w:tcW w:type="dxa" w:w="5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Resolution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TotalCharges stored as string in source CSV</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7,043</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Cast to DECIMAL on load using COALESCE(NULLIF(TRIM(TotalCharges), ''), '0')</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TotalCharges blank</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11 rows</w:t>
            </w:r>
          </w:p>
        </w:tc>
        <w:tc>
          <w:tcPr>
            <w:tcW w:type="dxa" w:w="5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All have tenure = 0 (new customers, not yet billed). Imputed to $0.00. Documented in 02_load_data.sql.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SeniorCitizen stored as 0/1 integer, not Yes/No string</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7,043</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Stored as TINYINT(1). Handled in queries with CASE WHEN senior_citizen = 1</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TotalCharges does not equal tenure x MonthlyCharges</w:t>
            </w:r>
          </w:p>
        </w:tc>
        <w:tc>
          <w:tcPr>
            <w:tcW w:type="dxa" w:w="1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5,200 rows</w:t>
            </w:r>
          </w:p>
        </w:tc>
        <w:tc>
          <w:tcPr>
            <w:tcW w:type="dxa" w:w="5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Expected behaviour from mid-cycle plan changes, promotions, partial months. Not a data error.</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Duplicate customer_ids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0</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Verified clean before loading.</w:t>
            </w:r>
          </w:p>
        </w:tc>
      </w:tr>
    </w:tbl>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4. SQL Analysis — Key Findings</w:t>
      </w:r>
    </w:p>
    <w:p>
      <w:pPr>
        <w:spacing w:before="80" w:after="100"/>
      </w:pPr>
      <w:r>
        <w:rPr>
          <w:rFonts w:ascii="Arial" w:cs="Arial" w:eastAsia="Arial" w:hAnsi="Arial"/>
          <w:color w:val="404040"/>
          <w:sz w:val="22"/>
          <w:szCs w:val="22"/>
        </w:rPr>
        <w:t xml:space="preserve">Twenty-five queries were written across three script files. This section documents the most significant findings from each file. All queries are available in full in the GitHub repository.</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4.1  03_churn_analysis.sql — Core Churn Segmentation</w:t>
      </w:r>
    </w:p>
    <w:p>
      <w:pPr>
        <w:spacing w:before="80" w:after="100"/>
      </w:pPr>
      <w:r>
        <w:rPr>
          <w:rFonts w:ascii="Arial" w:cs="Arial" w:eastAsia="Arial" w:hAnsi="Arial"/>
          <w:color w:val="404040"/>
          <w:sz w:val="22"/>
          <w:szCs w:val="22"/>
        </w:rPr>
        <w:t xml:space="preserve">Ten queries covering overall churn rates, segmentation by contract, tenure, internet service, payment method, and demographics. SQL concepts used: COUNT, SUM, AVG, GROUP BY, ORDER BY, HAVING, CASE WHEN, BETWEEN, subqueries, conditional aggregation.</w:t>
      </w:r>
    </w:p>
    <w:p>
      <w:pPr>
        <w:spacing w:before="0" w:after="120"/>
      </w:pPr>
      <w:r>
        <w:t xml:space="preserve"/>
      </w:r>
    </w:p>
    <w:p>
      <w:pPr>
        <w:spacing w:before="200" w:after="80"/>
      </w:pPr>
      <w:r>
        <w:rPr>
          <w:rFonts w:ascii="Arial" w:cs="Arial" w:eastAsia="Arial" w:hAnsi="Arial"/>
          <w:b/>
          <w:bCs/>
          <w:color w:val="404040"/>
          <w:sz w:val="22"/>
          <w:szCs w:val="22"/>
        </w:rPr>
        <w:t xml:space="preserve">Q1 — Overall churn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Total customers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7,043</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Total churned</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1,869</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Churn rate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26.54%</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Retention rate</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73.46%</w:t>
            </w:r>
          </w:p>
        </w:tc>
      </w:tr>
    </w:tbl>
    <w:p>
      <w:pPr>
        <w:spacing w:before="0" w:after="120"/>
      </w:pPr>
      <w:r>
        <w:t xml:space="preserve"/>
      </w:r>
    </w:p>
    <w:p>
      <w:pPr>
        <w:spacing w:before="200" w:after="80"/>
      </w:pPr>
      <w:r>
        <w:rPr>
          <w:rFonts w:ascii="Arial" w:cs="Arial" w:eastAsia="Arial" w:hAnsi="Arial"/>
          <w:b/>
          <w:bCs/>
          <w:color w:val="404040"/>
          <w:sz w:val="22"/>
          <w:szCs w:val="22"/>
        </w:rPr>
        <w:t xml:space="preserve">Q2 — Churn by contract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Contract Type</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Customers</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Churned</w:t>
            </w:r>
          </w:p>
        </w:tc>
        <w:tc>
          <w:tcPr>
            <w:tcW w:type="dxa" w:w="2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Churn Rate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Month-to-month</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3,875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1,655</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42.71%</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One year</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1,473</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166</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11.27%</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Two year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1,695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48</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2.83%</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180"/>
              <w:bottom w:type="dxa" w:w="120"/>
              <w:right w:type="dxa" w:w="180"/>
            </w:tcMar>
          </w:tcPr>
          <w:p>
            <w:pPr>
              <w:spacing w:before="0" w:after="60"/>
            </w:pPr>
            <w:r>
              <w:rPr>
                <w:rFonts w:ascii="Arial" w:cs="Arial" w:eastAsia="Arial" w:hAnsi="Arial"/>
                <w:b/>
                <w:bCs/>
                <w:color w:val="404040"/>
                <w:sz w:val="20"/>
                <w:szCs w:val="20"/>
              </w:rPr>
              <w:t xml:space="preserve">Business implication</w:t>
            </w:r>
          </w:p>
          <w:p>
            <w:pPr>
              <w:spacing w:before="0" w:after="0"/>
            </w:pPr>
            <w:r>
              <w:rPr>
                <w:rFonts w:ascii="Arial" w:cs="Arial" w:eastAsia="Arial" w:hAnsi="Arial"/>
                <w:color w:val="404040"/>
                <w:sz w:val="20"/>
                <w:szCs w:val="20"/>
              </w:rPr>
              <w:t xml:space="preserve">Month-to-month customers are 15x more likely to churn than two-year customers. The most direct retention lever is to incentivise annual plan adoption at the 3-month mark — the highest-risk early window.</w:t>
            </w:r>
          </w:p>
        </w:tc>
      </w:tr>
    </w:tbl>
    <w:p>
      <w:pPr>
        <w:spacing w:before="0" w:after="120"/>
      </w:pPr>
      <w:r>
        <w:t xml:space="preserve"/>
      </w:r>
    </w:p>
    <w:p>
      <w:pPr>
        <w:spacing w:before="200" w:after="80"/>
      </w:pPr>
      <w:r>
        <w:rPr>
          <w:rFonts w:ascii="Arial" w:cs="Arial" w:eastAsia="Arial" w:hAnsi="Arial"/>
          <w:b/>
          <w:bCs/>
          <w:color w:val="404040"/>
          <w:sz w:val="22"/>
          <w:szCs w:val="22"/>
        </w:rPr>
        <w:t xml:space="preserve">Q3 — Churn by tenure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Tenure Cohort</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Customers</w:t>
            </w:r>
          </w:p>
        </w:tc>
        <w:tc>
          <w:tcPr>
            <w:tcW w:type="dxa" w:w="4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Churn Rate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0-12 months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2,175</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47.68%</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13-24 months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1,005</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28.66%</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25-48 months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1,563</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20.41%</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49+ months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2,300</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9.78%</w:t>
            </w:r>
          </w:p>
        </w:tc>
      </w:tr>
    </w:tbl>
    <w:p>
      <w:pPr>
        <w:spacing w:before="0" w:after="120"/>
      </w:pPr>
      <w:r>
        <w:t xml:space="preserve"/>
      </w:r>
    </w:p>
    <w:p>
      <w:pPr>
        <w:spacing w:before="200" w:after="80"/>
      </w:pPr>
      <w:r>
        <w:rPr>
          <w:rFonts w:ascii="Arial" w:cs="Arial" w:eastAsia="Arial" w:hAnsi="Arial"/>
          <w:b/>
          <w:bCs/>
          <w:color w:val="404040"/>
          <w:sz w:val="22"/>
          <w:szCs w:val="22"/>
        </w:rPr>
        <w:t xml:space="preserve">Q4 — Churn by internet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60"/>
        <w:gridCol w:w="1800"/>
        <w:gridCol w:w="3200"/>
      </w:tblGrid>
      <w:tr>
        <w:trPr>
          <w:tblHeader/>
        </w:trPr>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Internet Service</w:t>
            </w:r>
          </w:p>
        </w:tc>
        <w:tc>
          <w:tcPr>
            <w:tcW w:type="dxa" w:w="18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Customers</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Churn Rate</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Avg Monthly Charge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Fiber optic</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3,096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41.89%</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$91.49</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DSL</w:t>
            </w:r>
          </w:p>
        </w:tc>
        <w:tc>
          <w:tcPr>
            <w:tcW w:type="dxa" w:w="1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2,421</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18.96%</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$57.91</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No internet</w:t>
            </w:r>
          </w:p>
        </w:tc>
        <w:tc>
          <w:tcPr>
            <w:tcW w:type="dxa" w:w="1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1,526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7.40%</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$30.72</w:t>
            </w:r>
          </w:p>
        </w:tc>
      </w:tr>
    </w:tbl>
    <w:p>
      <w:pPr>
        <w:spacing w:before="0" w:after="120"/>
      </w:pPr>
      <w:r>
        <w:t xml:space="preserve"/>
      </w:r>
    </w:p>
    <w:p>
      <w:pPr>
        <w:spacing w:before="200" w:after="80"/>
      </w:pPr>
      <w:r>
        <w:rPr>
          <w:rFonts w:ascii="Arial" w:cs="Arial" w:eastAsia="Arial" w:hAnsi="Arial"/>
          <w:b/>
          <w:bCs/>
          <w:color w:val="404040"/>
          <w:sz w:val="22"/>
          <w:szCs w:val="22"/>
        </w:rPr>
        <w:t xml:space="preserve">Q5 — MRR lost to churn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Total monthly MRR</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$456,116</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MRR lost to churn</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$139,130</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 of MRR lost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30.50%</w:t>
            </w:r>
          </w:p>
        </w:tc>
      </w:tr>
    </w:tbl>
    <w:p>
      <w:pPr>
        <w:spacing w:before="0" w:after="120"/>
      </w:pPr>
      <w:r>
        <w:t xml:space="preserve"/>
      </w:r>
    </w:p>
    <w:p>
      <w:pPr>
        <w:spacing w:before="200" w:after="80"/>
      </w:pPr>
      <w:r>
        <w:rPr>
          <w:rFonts w:ascii="Arial" w:cs="Arial" w:eastAsia="Arial" w:hAnsi="Arial"/>
          <w:b/>
          <w:bCs/>
          <w:color w:val="404040"/>
          <w:sz w:val="22"/>
          <w:szCs w:val="22"/>
        </w:rPr>
        <w:t xml:space="preserve">Q8 — Add-on services vs churn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Add-on Count</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Customers</w:t>
            </w:r>
          </w:p>
        </w:tc>
        <w:tc>
          <w:tcPr>
            <w:tcW w:type="dxa" w:w="4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Churn Rate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0 add-ons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2,693</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37.77%</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1 add-on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1,197</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25.90%</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2 add-ons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851</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19.74%</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3 add-ons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776</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14.82%</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0E0" w:val="clear"/>
            <w:tcMar>
              <w:top w:type="dxa" w:w="120"/>
              <w:left w:type="dxa" w:w="180"/>
              <w:bottom w:type="dxa" w:w="120"/>
              <w:right w:type="dxa" w:w="180"/>
            </w:tcMar>
          </w:tcPr>
          <w:p>
            <w:pPr>
              <w:spacing w:before="0" w:after="60"/>
            </w:pPr>
            <w:r>
              <w:rPr>
                <w:rFonts w:ascii="Arial" w:cs="Arial" w:eastAsia="Arial" w:hAnsi="Arial"/>
                <w:b/>
                <w:bCs/>
                <w:color w:val="404040"/>
                <w:sz w:val="20"/>
                <w:szCs w:val="20"/>
              </w:rPr>
              <w:t xml:space="preserve">Business implication</w:t>
            </w:r>
          </w:p>
          <w:p>
            <w:pPr>
              <w:spacing w:before="0" w:after="0"/>
            </w:pPr>
            <w:r>
              <w:rPr>
                <w:rFonts w:ascii="Arial" w:cs="Arial" w:eastAsia="Arial" w:hAnsi="Arial"/>
                <w:color w:val="404040"/>
                <w:sz w:val="20"/>
                <w:szCs w:val="20"/>
              </w:rPr>
              <w:t xml:space="preserve">Each additional service reduces churn by approximately 8 percentage points. Bundle offers are not just a revenue play — they are a proven retention mechanism. The product team should prioritise bundle upsell campaigns for 0-add-on customers.</w:t>
            </w:r>
          </w:p>
        </w:tc>
      </w:tr>
    </w:tbl>
    <w:p>
      <w:pPr>
        <w:spacing w:before="0" w:after="120"/>
      </w:pPr>
      <w:r>
        <w:t xml:space="preserve"/>
      </w:r>
    </w:p>
    <w:p>
      <w:pPr>
        <w:spacing w:before="200" w:after="80"/>
      </w:pPr>
      <w:r>
        <w:rPr>
          <w:rFonts w:ascii="Arial" w:cs="Arial" w:eastAsia="Arial" w:hAnsi="Arial"/>
          <w:b/>
          <w:bCs/>
          <w:color w:val="404040"/>
          <w:sz w:val="22"/>
          <w:szCs w:val="22"/>
        </w:rPr>
        <w:t xml:space="preserve">Q9 — Highest-risk customer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1400"/>
        <w:gridCol w:w="19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Contract</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Internet</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Payment Method</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Customers</w:t>
            </w:r>
          </w:p>
        </w:tc>
        <w:tc>
          <w:tcPr>
            <w:tcW w:type="dxa" w:w="1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Churn Rate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Month-to-month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Fiber optic</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Electronic check</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586</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64.41%</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Month-to-month</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Fiber optic</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Mailed check</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91</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55.49%</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Month-to-month</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Fiber optic</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Credit card (auto)</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192</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44.79%</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Month-to-month</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Fiber optic</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Bank transfer (auto)</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196</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43.88%</w:t>
            </w:r>
          </w:p>
        </w:tc>
      </w:tr>
    </w:tbl>
    <w:p>
      <w:r>
        <w:br w:type="page"/>
      </w:r>
    </w:p>
    <w:p>
      <w:pPr>
        <w:pStyle w:val="Heading2"/>
        <w:spacing w:before="280" w:after="120"/>
      </w:pPr>
      <w:r>
        <w:rPr>
          <w:rFonts w:ascii="Arial" w:cs="Arial" w:eastAsia="Arial" w:hAnsi="Arial"/>
          <w:b/>
          <w:bCs/>
          <w:color w:val="2E75B6"/>
          <w:sz w:val="26"/>
          <w:szCs w:val="26"/>
        </w:rPr>
        <w:t xml:space="preserve">4.2  04_cohort_analysis.sql — Cohort Analysis and Window Functions</w:t>
      </w:r>
    </w:p>
    <w:p>
      <w:pPr>
        <w:spacing w:before="80" w:after="100"/>
      </w:pPr>
      <w:r>
        <w:rPr>
          <w:rFonts w:ascii="Arial" w:cs="Arial" w:eastAsia="Arial" w:hAnsi="Arial"/>
          <w:color w:val="404040"/>
          <w:sz w:val="22"/>
          <w:szCs w:val="22"/>
        </w:rPr>
        <w:t xml:space="preserve">Eight queries using advanced SQL: RANK(), NTILE(), SUM() OVER(), AVG() OVER(PARTITION BY), CTEs, multi-CTE chaining, and cumulative window frames.</w:t>
      </w:r>
    </w:p>
    <w:p>
      <w:pPr>
        <w:spacing w:before="0" w:after="120"/>
      </w:pPr>
      <w:r>
        <w:t xml:space="preserve"/>
      </w:r>
    </w:p>
    <w:p>
      <w:pPr>
        <w:spacing w:before="200" w:after="80"/>
      </w:pPr>
      <w:r>
        <w:rPr>
          <w:rFonts w:ascii="Arial" w:cs="Arial" w:eastAsia="Arial" w:hAnsi="Arial"/>
          <w:b/>
          <w:bCs/>
          <w:color w:val="404040"/>
          <w:sz w:val="22"/>
          <w:szCs w:val="22"/>
        </w:rPr>
        <w:t xml:space="preserve">Q12 — Customer spend quartiles vs churn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960"/>
      </w:tblGrid>
      <w:tr>
        <w:trPr>
          <w:tblHeader/>
        </w:trPr>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Quartile</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Label</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Avg Charge</w:t>
            </w:r>
          </w:p>
        </w:tc>
        <w:tc>
          <w:tcPr>
            <w:tcW w:type="dxa" w:w="2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Churn Rate</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Q1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Top spenders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$99.14</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36.40%</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Q2</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High spenders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$79.55</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28.85%</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Q3</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Mid spenders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$63.22</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22.71%</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Q4</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Low spenders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$30.72</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18.30%</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180"/>
              <w:bottom w:type="dxa" w:w="120"/>
              <w:right w:type="dxa" w:w="180"/>
            </w:tcMar>
          </w:tcPr>
          <w:p>
            <w:pPr>
              <w:spacing w:before="0" w:after="60"/>
            </w:pPr>
            <w:r>
              <w:rPr>
                <w:rFonts w:ascii="Arial" w:cs="Arial" w:eastAsia="Arial" w:hAnsi="Arial"/>
                <w:b/>
                <w:bCs/>
                <w:color w:val="404040"/>
                <w:sz w:val="20"/>
                <w:szCs w:val="20"/>
              </w:rPr>
              <w:t xml:space="preserve">Business implication</w:t>
            </w:r>
          </w:p>
          <w:p>
            <w:pPr>
              <w:spacing w:before="0" w:after="0"/>
            </w:pPr>
            <w:r>
              <w:rPr>
                <w:rFonts w:ascii="Arial" w:cs="Arial" w:eastAsia="Arial" w:hAnsi="Arial"/>
                <w:color w:val="404040"/>
                <w:sz w:val="20"/>
                <w:szCs w:val="20"/>
              </w:rPr>
              <w:t xml:space="preserve">The highest-paying customers churn the most. This is a premium dissatisfaction problem — the company's best revenue customers are also its most at-risk. This warrants urgent NPS investigation for high-spend customers specifically.</w:t>
            </w:r>
          </w:p>
        </w:tc>
      </w:tr>
    </w:tbl>
    <w:p>
      <w:pPr>
        <w:spacing w:before="0" w:after="120"/>
      </w:pPr>
      <w:r>
        <w:t xml:space="preserve"/>
      </w:r>
    </w:p>
    <w:p>
      <w:pPr>
        <w:spacing w:before="200" w:after="80"/>
      </w:pPr>
      <w:r>
        <w:rPr>
          <w:rFonts w:ascii="Arial" w:cs="Arial" w:eastAsia="Arial" w:hAnsi="Arial"/>
          <w:b/>
          <w:bCs/>
          <w:color w:val="404040"/>
          <w:sz w:val="22"/>
          <w:szCs w:val="22"/>
        </w:rPr>
        <w:t xml:space="preserve">Q17 — Customer lifetime value: churned vs retained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Customers</w:t>
            </w:r>
          </w:p>
        </w:tc>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Avg CLV</w:t>
            </w:r>
          </w:p>
        </w:tc>
        <w:tc>
          <w:tcPr>
            <w:tcW w:type="dxa" w:w="28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Avg Tenure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Churned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1,869</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~$1,531</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~17 months</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Retained</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5,174</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~$3,420</w:t>
            </w:r>
          </w:p>
        </w:tc>
        <w:tc>
          <w:tcPr>
            <w:tcW w:type="dxa" w:w="2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~38 months</w:t>
            </w:r>
          </w:p>
        </w:tc>
      </w:tr>
    </w:tbl>
    <w:p>
      <w:pPr>
        <w:spacing w:before="0" w:after="120"/>
      </w:pPr>
      <w:r>
        <w:t xml:space="preserve"/>
      </w:r>
    </w:p>
    <w:p>
      <w:pPr>
        <w:spacing w:before="80" w:after="100"/>
      </w:pPr>
      <w:r>
        <w:rPr>
          <w:rFonts w:ascii="Arial" w:cs="Arial" w:eastAsia="Arial" w:hAnsi="Arial"/>
          <w:color w:val="404040"/>
          <w:sz w:val="22"/>
          <w:szCs w:val="22"/>
        </w:rPr>
        <w:t xml:space="preserve">Retained customers generate 2.2x more lifetime revenue and stay 2.2x longer. Every churned customer represents not just the lost monthly charge, but the entire projected future revenue they would have generated.</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4.3  05_revenue_at_risk.sql — Revenue Modelling</w:t>
      </w:r>
    </w:p>
    <w:p>
      <w:pPr>
        <w:spacing w:before="80" w:after="100"/>
      </w:pPr>
      <w:r>
        <w:rPr>
          <w:rFonts w:ascii="Arial" w:cs="Arial" w:eastAsia="Arial" w:hAnsi="Arial"/>
          <w:color w:val="404040"/>
          <w:sz w:val="22"/>
          <w:szCs w:val="22"/>
        </w:rPr>
        <w:t xml:space="preserve">Seven queries covering MRR breakdown, ARPU analysis, scenario modelling, and a parameterised stored procedure for repeatable reporting.</w:t>
      </w:r>
    </w:p>
    <w:p>
      <w:pPr>
        <w:spacing w:before="0" w:after="120"/>
      </w:pPr>
      <w:r>
        <w:t xml:space="preserve"/>
      </w:r>
    </w:p>
    <w:p>
      <w:pPr>
        <w:spacing w:before="200" w:after="80"/>
      </w:pPr>
      <w:r>
        <w:rPr>
          <w:rFonts w:ascii="Arial" w:cs="Arial" w:eastAsia="Arial" w:hAnsi="Arial"/>
          <w:b/>
          <w:bCs/>
          <w:color w:val="404040"/>
          <w:sz w:val="22"/>
          <w:szCs w:val="22"/>
        </w:rPr>
        <w:t xml:space="preserve">Q19 — MRR lost by contract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rPr>
          <w:tblHeader/>
        </w:trPr>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Contract Type</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MRR</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MRR Lost</w:t>
            </w:r>
          </w:p>
        </w:tc>
        <w:tc>
          <w:tcPr>
            <w:tcW w:type="dxa" w:w="24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 Lost</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Month-to-month</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~$235K</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~$100K+</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~43%</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One year</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~$120K</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~$16K</w:t>
            </w:r>
          </w:p>
        </w:tc>
        <w:tc>
          <w:tcPr>
            <w:tcW w:type="dxa" w:w="24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~13%</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Two year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~$101K</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~$3K</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~3%</w:t>
            </w:r>
          </w:p>
        </w:tc>
      </w:tr>
    </w:tbl>
    <w:p>
      <w:pPr>
        <w:spacing w:before="0" w:after="120"/>
      </w:pPr>
      <w:r>
        <w:t xml:space="preserve"/>
      </w:r>
    </w:p>
    <w:p>
      <w:pPr>
        <w:spacing w:before="200" w:after="80"/>
      </w:pPr>
      <w:r>
        <w:rPr>
          <w:rFonts w:ascii="Arial" w:cs="Arial" w:eastAsia="Arial" w:hAnsi="Arial"/>
          <w:b/>
          <w:bCs/>
          <w:color w:val="404040"/>
          <w:sz w:val="22"/>
          <w:szCs w:val="22"/>
        </w:rPr>
        <w:t xml:space="preserve">Q21 — Scenario model: what does fixing churn recover?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Churn Reduction</w:t>
            </w:r>
          </w:p>
        </w:tc>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MRR Recovered/Month</w:t>
            </w:r>
          </w:p>
        </w:tc>
        <w:tc>
          <w:tcPr>
            <w:tcW w:type="dxa" w:w="3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Annual Impact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10% reduction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$13,913</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$166,956/year</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20% reduction</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$27,826</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$333,912/year</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30% reduction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$41,739</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$500,868/year</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before="0" w:after="60"/>
            </w:pPr>
            <w:r>
              <w:rPr>
                <w:rFonts w:ascii="Arial" w:cs="Arial" w:eastAsia="Arial" w:hAnsi="Arial"/>
                <w:b/>
                <w:bCs/>
                <w:color w:val="404040"/>
                <w:sz w:val="20"/>
                <w:szCs w:val="20"/>
              </w:rPr>
              <w:t xml:space="preserve">Budget threshold</w:t>
            </w:r>
          </w:p>
          <w:p>
            <w:pPr>
              <w:spacing w:before="0" w:after="0"/>
            </w:pPr>
            <w:r>
              <w:rPr>
                <w:rFonts w:ascii="Arial" w:cs="Arial" w:eastAsia="Arial" w:hAnsi="Arial"/>
                <w:color w:val="404040"/>
                <w:sz w:val="20"/>
                <w:szCs w:val="20"/>
              </w:rPr>
              <w:t xml:space="preserve">Any retention programme costing less than $166,956 per year produces positive ROI at a 10% churn reduction. This is the number that goes to a CFO to justify retention investment.</w:t>
            </w:r>
          </w:p>
        </w:tc>
      </w:tr>
    </w:tbl>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5. SQL Concepts Reference</w:t>
      </w:r>
    </w:p>
    <w:p>
      <w:pPr>
        <w:spacing w:before="80" w:after="100"/>
      </w:pPr>
      <w:r>
        <w:rPr>
          <w:rFonts w:ascii="Arial" w:cs="Arial" w:eastAsia="Arial" w:hAnsi="Arial"/>
          <w:color w:val="404040"/>
          <w:sz w:val="22"/>
          <w:szCs w:val="22"/>
        </w:rPr>
        <w:t xml:space="preserve">The following SQL concepts are demonstrated across the 25 queries in this project. This section serves as a reference for each concept, the query it first appears in, and why it was used.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400"/>
        <w:gridCol w:w="396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Concept</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First Used</w:t>
            </w:r>
          </w:p>
        </w:tc>
        <w:tc>
          <w:tcPr>
            <w:tcW w:type="dxa" w:w="3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 in This Project</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Foundational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COUNT, SUM, AVG, MIN, MAX</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Q1</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Core aggregates for churn rate, revenue totals, averages</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Foundational</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GROUP BY + ORDER BY</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Q2</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Segment analysis — churn rate per contract/service/method</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Foundational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WHERE clause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Q8, Q23</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Pre-filter rows before aggregation</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Intermediate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CASE WHEN / BETWEEN</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Q3</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Create tenure buckets, binary flags, composite scores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Intermediate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HAVING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Q6</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Filter groups after aggregation — e.g. only segments with COUNT &gt;= 30</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Intermediate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Subquery</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Q9</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Dynamic threshold — compare each segment to overall average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Intermediate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Conditional aggregation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Q5</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SUM(CASE WHEN churned=1 THEN charge ELSE 0 END) — the core revenue pattern</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Intermediate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NULLIF / COALESCE</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Q11, load script</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Prevent divide-by-zero; handle blank TotalCharges on import</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Advanced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CTE (WITH clause)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Q12</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Named intermediate results — readable multi-step logic</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Advanced</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Multi-CTE chaining</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Q15, Q18</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Each CTE builds on the previous — complex logic in readable steps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Advanced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RANK() OVER()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Q11</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Rank all 7,043 customers by churn risk without collapsing rows</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Advanced</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NTILE(N) OVER()</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Q12</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Divide customers into equal spend quartiles automatically</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Advanced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SUM() OVER(ORDER BY)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Q13</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Running totals — cumulative churn across tenure months</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Advanced</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AVG() OVER(PARTITION BY)</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Q14</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Per-segment averages — each customer vs their internet service group</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Advanced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CROSS JOIN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Q15</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Bring a single scalar value (75th percentile) into every row</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Production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Stored procedure</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Q25</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Parameterised monthly report — CALL with contract type and tenure range</w:t>
            </w:r>
          </w:p>
        </w:tc>
      </w:tr>
    </w:tbl>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6. Power BI Dashboard</w:t>
      </w:r>
    </w:p>
    <w:p>
      <w:pPr>
        <w:spacing w:before="80" w:after="100"/>
      </w:pPr>
      <w:r>
        <w:rPr>
          <w:rFonts w:ascii="Arial" w:cs="Arial" w:eastAsia="Arial" w:hAnsi="Arial"/>
          <w:color w:val="404040"/>
          <w:sz w:val="22"/>
          <w:szCs w:val="22"/>
        </w:rPr>
        <w:t xml:space="preserve">The dashboard is published to Power BI Service and accessible via the link in the GitHub README. It consists of one page with 10 objects: 4 KPI cards, 5 data visuals, and 1 slicer.</w:t>
      </w:r>
    </w:p>
    <w:p>
      <w:pPr>
        <w:spacing w:before="0" w:after="120"/>
      </w:pPr>
      <w:r>
        <w:t xml:space="preserve"/>
      </w:r>
    </w:p>
    <w:p>
      <w:pPr>
        <w:spacing w:before="80" w:after="100"/>
      </w:pPr>
      <w:r>
        <w:rPr>
          <w:rFonts w:ascii="Arial" w:cs="Arial" w:eastAsia="Arial" w:hAnsi="Arial"/>
          <w:color w:val="404040"/>
          <w:sz w:val="22"/>
          <w:szCs w:val="22"/>
        </w:rPr>
        <w:t xml:space="preserve">Note: Add your dashboard_preview.png screenshot here after exporting from Power BI Service.</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Visuals and Their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Visual</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c>
          <w:tcPr>
            <w:tcW w:type="dxa" w:w="2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Business Purpose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KPI Cards (x4)</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Card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customer_full + DAX</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Headline numbers: 7,043 customers, 26.54% churn, $139K MRR lost, $74.44 avg churned charge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Churn by Contract</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Horizontal bar + conditional formatting</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churn_by_contract.csv</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Immediate visual of 42% vs 2.8% — the most actionable single finding</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Churn by Tenure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Line chart + reference line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churn_by_tenure.csv</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Shows the early-life churn curve with 26.54% average reference line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Cohort-Contract Matrix</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Matrix with colour scale heatmap</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cohort_matrix.csv</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12-cell heatmap: green = safe, red = critical — the flagship visual</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MRR vs MRR Lost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Clustered column chart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revenue_summary.csv</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Translates churn % into dollar impact per contract type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Tenure vs Charges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Scatter plot coloured by churn status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customer_full.csv</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7,043 individual dots — shows the top-left churn cluster visually</w:t>
            </w:r>
          </w:p>
        </w:tc>
      </w:tr>
    </w:tbl>
    <w:p>
      <w:pPr>
        <w:spacing w:before="0" w:after="120"/>
      </w:pPr>
      <w:r>
        <w:t xml:space="preserve"/>
      </w:r>
    </w:p>
    <w:p>
      <w:pPr>
        <w:pStyle w:val="Heading2"/>
        <w:spacing w:before="280" w:after="120"/>
      </w:pPr>
      <w:r>
        <w:rPr>
          <w:rFonts w:ascii="Arial" w:cs="Arial" w:eastAsia="Arial" w:hAnsi="Arial"/>
          <w:b/>
          <w:bCs/>
          <w:color w:val="2E75B6"/>
          <w:sz w:val="26"/>
          <w:szCs w:val="26"/>
        </w:rPr>
        <w:t xml:space="preserve">DAX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w:t>
            </w:r>
          </w:p>
        </w:tc>
        <w:tc>
          <w:tcPr>
            <w:tcW w:type="dxa" w:w="4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DAX Formula</w:t>
            </w:r>
          </w:p>
        </w:tc>
        <w:tc>
          <w:tcPr>
            <w:tcW w:type="dxa" w:w="2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Total Customers</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COUNTROWS(customer_full)</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Count of all rows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Churned Customers</w:t>
            </w:r>
          </w:p>
        </w:tc>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SUM(customer_full[churned])</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Sum of binary churn flags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Churn Rate %</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DIVIDE(SUM(customer_full[churned]), COUNTROWS(customer_full)) * 100</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Overall churn percentage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MRR Lost</w:t>
            </w:r>
          </w:p>
        </w:tc>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SUMX(FILTER(customer_full, customer_full[churned]=1), customer_full[monthly_charges])</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Total monthly revenue lost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Total MRR</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SUM(customer_full[monthly_charges])</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color w:val="404040"/>
                <w:sz w:val="20"/>
                <w:szCs w:val="20"/>
              </w:rPr>
              <w:t xml:space="preserve">All monthly charges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Avg Charge Churned</w:t>
            </w:r>
          </w:p>
        </w:tc>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AVERAGEX(FILTER(customer_full, customer_full[churned]=1), customer_full[monthly_charges])</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rFonts w:ascii="Arial" w:cs="Arial" w:eastAsia="Arial" w:hAnsi="Arial"/>
                <w:color w:val="404040"/>
                <w:sz w:val="20"/>
                <w:szCs w:val="20"/>
              </w:rPr>
              <w:t xml:space="preserve">Average charge for churned customers only</w:t>
            </w:r>
          </w:p>
        </w:tc>
      </w:tr>
    </w:tbl>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7. Business Recommendations</w:t>
      </w:r>
    </w:p>
    <w:p>
      <w:pPr>
        <w:spacing w:before="80" w:after="100"/>
      </w:pPr>
      <w:r>
        <w:rPr>
          <w:rFonts w:ascii="Arial" w:cs="Arial" w:eastAsia="Arial" w:hAnsi="Arial"/>
          <w:color w:val="404040"/>
          <w:sz w:val="22"/>
          <w:szCs w:val="22"/>
        </w:rPr>
        <w:t xml:space="preserve">The following recommendations are derived directly from the SQL analysis findings. Each is structured as: observation, recommended action, and expected impact.</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Recommendation 1 — Target the highest-risk segment immediately</w:t>
      </w:r>
    </w:p>
    <w:p>
      <w:pPr>
        <w:pStyle w:val="ListParagraph"/>
        <w:numPr>
          <w:ilvl w:val="0"/>
          <w:numId w:val="2"/>
        </w:numPr>
        <w:spacing w:before="60" w:after="60"/>
      </w:pPr>
      <w:r>
        <w:rPr>
          <w:rFonts w:ascii="Arial" w:cs="Arial" w:eastAsia="Arial" w:hAnsi="Arial"/>
          <w:color w:val="404040"/>
          <w:sz w:val="22"/>
          <w:szCs w:val="22"/>
        </w:rPr>
        <w:t xml:space="preserve">Observation: 586 customers on month-to-month + fiber optic + electronic check churn at 64.41%.</w:t>
      </w:r>
    </w:p>
    <w:p>
      <w:pPr>
        <w:pStyle w:val="ListParagraph"/>
        <w:numPr>
          <w:ilvl w:val="0"/>
          <w:numId w:val="2"/>
        </w:numPr>
        <w:spacing w:before="60" w:after="60"/>
      </w:pPr>
      <w:r>
        <w:rPr>
          <w:rFonts w:ascii="Arial" w:cs="Arial" w:eastAsia="Arial" w:hAnsi="Arial"/>
          <w:color w:val="404040"/>
          <w:sz w:val="22"/>
          <w:szCs w:val="22"/>
        </w:rPr>
        <w:t xml:space="preserve">Action: Build a targeted retention campaign for this exact profile. Offer an auto-pay discount (e.g. $5/month off) combined with a 12-month contract lock-in incentive. Add a proactive support call in month 2 for all new fiber optic customers on electronic check.</w:t>
      </w:r>
    </w:p>
    <w:p>
      <w:pPr>
        <w:pStyle w:val="ListParagraph"/>
        <w:numPr>
          <w:ilvl w:val="0"/>
          <w:numId w:val="2"/>
        </w:numPr>
        <w:spacing w:before="60" w:after="60"/>
      </w:pPr>
      <w:r>
        <w:rPr>
          <w:rFonts w:ascii="Arial" w:cs="Arial" w:eastAsia="Arial" w:hAnsi="Arial"/>
          <w:color w:val="404040"/>
          <w:sz w:val="22"/>
          <w:szCs w:val="22"/>
        </w:rPr>
        <w:t xml:space="preserve">Expected impact: If 20% of this segment is retained, that is ~117 customers x $91/month = ~$10,700 MRR recovered monthly from a single campaign.</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Recommendation 2 — Invest in first-year onboarding</w:t>
      </w:r>
    </w:p>
    <w:p>
      <w:pPr>
        <w:pStyle w:val="ListParagraph"/>
        <w:numPr>
          <w:ilvl w:val="0"/>
          <w:numId w:val="2"/>
        </w:numPr>
        <w:spacing w:before="60" w:after="60"/>
      </w:pPr>
      <w:r>
        <w:rPr>
          <w:rFonts w:ascii="Arial" w:cs="Arial" w:eastAsia="Arial" w:hAnsi="Arial"/>
          <w:color w:val="404040"/>
          <w:sz w:val="22"/>
          <w:szCs w:val="22"/>
        </w:rPr>
        <w:t xml:space="preserve">Observation: 47.68% of all churn happens in the first 12 months. After month 12, churn drops by more than half.</w:t>
      </w:r>
    </w:p>
    <w:p>
      <w:pPr>
        <w:pStyle w:val="ListParagraph"/>
        <w:numPr>
          <w:ilvl w:val="0"/>
          <w:numId w:val="2"/>
        </w:numPr>
        <w:spacing w:before="60" w:after="60"/>
      </w:pPr>
      <w:r>
        <w:rPr>
          <w:rFonts w:ascii="Arial" w:cs="Arial" w:eastAsia="Arial" w:hAnsi="Arial"/>
          <w:color w:val="404040"/>
          <w:sz w:val="22"/>
          <w:szCs w:val="22"/>
        </w:rPr>
        <w:t xml:space="preserve">Action: Implement a structured 90-day onboarding programme for all new customers. Automated check-in at day 30, day 60, and day 90. Proactive outreach at month 6 offering a loyalty reward for upgrading to annual contract.</w:t>
      </w:r>
    </w:p>
    <w:p>
      <w:pPr>
        <w:pStyle w:val="ListParagraph"/>
        <w:numPr>
          <w:ilvl w:val="0"/>
          <w:numId w:val="2"/>
        </w:numPr>
        <w:spacing w:before="60" w:after="60"/>
      </w:pPr>
      <w:r>
        <w:rPr>
          <w:rFonts w:ascii="Arial" w:cs="Arial" w:eastAsia="Arial" w:hAnsi="Arial"/>
          <w:color w:val="404040"/>
          <w:sz w:val="22"/>
          <w:szCs w:val="22"/>
        </w:rPr>
        <w:t xml:space="preserve">Expected impact: Shifting even 5% of 0-12m customers to the 12-24m retention rate (from 47.68% to 28.66%) would prevent ~414 churns per cohort year.</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Recommendation 3 — Investigate fiber optic product quality</w:t>
      </w:r>
    </w:p>
    <w:p>
      <w:pPr>
        <w:pStyle w:val="ListParagraph"/>
        <w:numPr>
          <w:ilvl w:val="0"/>
          <w:numId w:val="2"/>
        </w:numPr>
        <w:spacing w:before="60" w:after="60"/>
      </w:pPr>
      <w:r>
        <w:rPr>
          <w:rFonts w:ascii="Arial" w:cs="Arial" w:eastAsia="Arial" w:hAnsi="Arial"/>
          <w:color w:val="404040"/>
          <w:sz w:val="22"/>
          <w:szCs w:val="22"/>
        </w:rPr>
        <w:t xml:space="preserve">Observation: Fiber optic churns at 41.89% despite an average charge of $91.49/month — the highest-price, highest-churn combination.</w:t>
      </w:r>
    </w:p>
    <w:p>
      <w:pPr>
        <w:pStyle w:val="ListParagraph"/>
        <w:numPr>
          <w:ilvl w:val="0"/>
          <w:numId w:val="2"/>
        </w:numPr>
        <w:spacing w:before="60" w:after="60"/>
      </w:pPr>
      <w:r>
        <w:rPr>
          <w:rFonts w:ascii="Arial" w:cs="Arial" w:eastAsia="Arial" w:hAnsi="Arial"/>
          <w:color w:val="404040"/>
          <w:sz w:val="22"/>
          <w:szCs w:val="22"/>
        </w:rPr>
        <w:t xml:space="preserve">Action: Run an NPS survey specifically for fiber optic customers with tenure under 12 months. Identify whether churn is driven by price sensitivity, service quality, competitor offers, or onboarding friction.</w:t>
      </w:r>
    </w:p>
    <w:p>
      <w:pPr>
        <w:pStyle w:val="ListParagraph"/>
        <w:numPr>
          <w:ilvl w:val="0"/>
          <w:numId w:val="2"/>
        </w:numPr>
        <w:spacing w:before="60" w:after="60"/>
      </w:pPr>
      <w:r>
        <w:rPr>
          <w:rFonts w:ascii="Arial" w:cs="Arial" w:eastAsia="Arial" w:hAnsi="Arial"/>
          <w:color w:val="404040"/>
          <w:sz w:val="22"/>
          <w:szCs w:val="22"/>
        </w:rPr>
        <w:t xml:space="preserve">Expected impact: This is a diagnosis action, not a direct retention action. The investigation result will determine whether the intervention is pricing, service quality, or acquisition messaging.</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Recommendation 4 — Drive bundle adoption</w:t>
      </w:r>
    </w:p>
    <w:p>
      <w:pPr>
        <w:pStyle w:val="ListParagraph"/>
        <w:numPr>
          <w:ilvl w:val="0"/>
          <w:numId w:val="2"/>
        </w:numPr>
        <w:spacing w:before="60" w:after="60"/>
      </w:pPr>
      <w:r>
        <w:rPr>
          <w:rFonts w:ascii="Arial" w:cs="Arial" w:eastAsia="Arial" w:hAnsi="Arial"/>
          <w:color w:val="404040"/>
          <w:sz w:val="22"/>
          <w:szCs w:val="22"/>
        </w:rPr>
        <w:t xml:space="preserve">Observation: Customers with 3 add-on services churn at 14.82% vs 37.77% for those with none.</w:t>
      </w:r>
    </w:p>
    <w:p>
      <w:pPr>
        <w:pStyle w:val="ListParagraph"/>
        <w:numPr>
          <w:ilvl w:val="0"/>
          <w:numId w:val="2"/>
        </w:numPr>
        <w:spacing w:before="60" w:after="60"/>
      </w:pPr>
      <w:r>
        <w:rPr>
          <w:rFonts w:ascii="Arial" w:cs="Arial" w:eastAsia="Arial" w:hAnsi="Arial"/>
          <w:color w:val="404040"/>
          <w:sz w:val="22"/>
          <w:szCs w:val="22"/>
        </w:rPr>
        <w:t xml:space="preserve">Action: Create a 'Starter Bundle' promotion offering online security + online backup at a discounted rate for the first 6 months. Target 0-add-on customers in the 0-12 month tenure window.</w:t>
      </w:r>
    </w:p>
    <w:p>
      <w:pPr>
        <w:pStyle w:val="ListParagraph"/>
        <w:numPr>
          <w:ilvl w:val="0"/>
          <w:numId w:val="2"/>
        </w:numPr>
        <w:spacing w:before="60" w:after="60"/>
      </w:pPr>
      <w:r>
        <w:rPr>
          <w:rFonts w:ascii="Arial" w:cs="Arial" w:eastAsia="Arial" w:hAnsi="Arial"/>
          <w:color w:val="404040"/>
          <w:sz w:val="22"/>
          <w:szCs w:val="22"/>
        </w:rPr>
        <w:t xml:space="preserve">Expected impact: Moving a customer from 0 to 2 add-ons is associated with an 18 percentage point churn reduction. Even partial uptake across the 2,693 0-add-on customers represents significant retention improvement.</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Recommendation 5 — Set a retention investment threshold</w:t>
      </w:r>
    </w:p>
    <w:p>
      <w:pPr>
        <w:pStyle w:val="ListParagraph"/>
        <w:numPr>
          <w:ilvl w:val="0"/>
          <w:numId w:val="2"/>
        </w:numPr>
        <w:spacing w:before="60" w:after="60"/>
      </w:pPr>
      <w:r>
        <w:rPr>
          <w:rFonts w:ascii="Arial" w:cs="Arial" w:eastAsia="Arial" w:hAnsi="Arial"/>
          <w:color w:val="404040"/>
          <w:sz w:val="22"/>
          <w:szCs w:val="22"/>
        </w:rPr>
        <w:t xml:space="preserve">Observation: A 10% churn reduction recovers $13,913/month = $166,956/year.</w:t>
      </w:r>
    </w:p>
    <w:p>
      <w:pPr>
        <w:pStyle w:val="ListParagraph"/>
        <w:numPr>
          <w:ilvl w:val="0"/>
          <w:numId w:val="2"/>
        </w:numPr>
        <w:spacing w:before="60" w:after="60"/>
      </w:pPr>
      <w:r>
        <w:rPr>
          <w:rFonts w:ascii="Arial" w:cs="Arial" w:eastAsia="Arial" w:hAnsi="Arial"/>
          <w:color w:val="404040"/>
          <w:sz w:val="22"/>
          <w:szCs w:val="22"/>
        </w:rPr>
        <w:t xml:space="preserve">Action: Use this figure as the budget ceiling for any retention programme in the next fiscal year. Any initiative with a cost below $166K and a plausible path to 10% churn reduction has positive ROI.</w:t>
      </w:r>
    </w:p>
    <w:p>
      <w:pPr>
        <w:pStyle w:val="ListParagraph"/>
        <w:numPr>
          <w:ilvl w:val="0"/>
          <w:numId w:val="2"/>
        </w:numPr>
        <w:spacing w:before="60" w:after="60"/>
      </w:pPr>
      <w:r>
        <w:rPr>
          <w:rFonts w:ascii="Arial" w:cs="Arial" w:eastAsia="Arial" w:hAnsi="Arial"/>
          <w:color w:val="404040"/>
          <w:sz w:val="22"/>
          <w:szCs w:val="22"/>
        </w:rPr>
        <w:t xml:space="preserve">Expected impact: Gives finance a clear, data-derived threshold for evaluating retention spend proposals — no guesswork required.</w:t>
      </w:r>
    </w:p>
    <w:p>
      <w:r>
        <w:br w:type="page"/>
      </w:r>
    </w:p>
    <w:p>
      <w:pPr>
        <w:pStyle w:val="Heading1"/>
        <w:pBdr>
          <w:bottom w:val="single" w:color="2E75B6" w:sz="8" w:space="4"/>
        </w:pBdr>
        <w:spacing w:before="360" w:after="160"/>
      </w:pPr>
      <w:r>
        <w:rPr>
          <w:rFonts w:ascii="Arial" w:cs="Arial" w:eastAsia="Arial" w:hAnsi="Arial"/>
          <w:b/>
          <w:bCs/>
          <w:color w:val="1F4E79"/>
          <w:sz w:val="32"/>
          <w:szCs w:val="32"/>
        </w:rPr>
        <w:t xml:space="preserve">8. Limitations and Next Steps</w:t>
      </w:r>
    </w:p>
    <w:p>
      <w:pPr>
        <w:pStyle w:val="Heading2"/>
        <w:spacing w:before="280" w:after="120"/>
      </w:pPr>
      <w:r>
        <w:rPr>
          <w:rFonts w:ascii="Arial" w:cs="Arial" w:eastAsia="Arial" w:hAnsi="Arial"/>
          <w:b/>
          <w:bCs/>
          <w:color w:val="2E75B6"/>
          <w:sz w:val="26"/>
          <w:szCs w:val="26"/>
        </w:rPr>
        <w:t xml:space="preserve">Limitations</w:t>
      </w:r>
    </w:p>
    <w:p>
      <w:pPr>
        <w:pStyle w:val="ListParagraph"/>
        <w:numPr>
          <w:ilvl w:val="0"/>
          <w:numId w:val="2"/>
        </w:numPr>
        <w:spacing w:before="60" w:after="60"/>
      </w:pPr>
      <w:r>
        <w:rPr>
          <w:rFonts w:ascii="Arial" w:cs="Arial" w:eastAsia="Arial" w:hAnsi="Arial"/>
          <w:color w:val="404040"/>
          <w:sz w:val="22"/>
          <w:szCs w:val="22"/>
        </w:rPr>
        <w:t xml:space="preserve">Static snapshot: This is a cross-sectional dataset, not longitudinal event data. Real churn analysis would use timestamped events to build true survival curves.</w:t>
      </w:r>
    </w:p>
    <w:p>
      <w:pPr>
        <w:pStyle w:val="ListParagraph"/>
        <w:numPr>
          <w:ilvl w:val="0"/>
          <w:numId w:val="2"/>
        </w:numPr>
        <w:spacing w:before="60" w:after="60"/>
      </w:pPr>
      <w:r>
        <w:rPr>
          <w:rFonts w:ascii="Arial" w:cs="Arial" w:eastAsia="Arial" w:hAnsi="Arial"/>
          <w:color w:val="404040"/>
          <w:sz w:val="22"/>
          <w:szCs w:val="22"/>
        </w:rPr>
        <w:t xml:space="preserve">Synthetic data: The IBM Telco dataset is artificially generated. Absolute numbers are directionally realistic for the telecom industry but should not be taken as reflective of any real business.</w:t>
      </w:r>
    </w:p>
    <w:p>
      <w:pPr>
        <w:pStyle w:val="ListParagraph"/>
        <w:numPr>
          <w:ilvl w:val="0"/>
          <w:numId w:val="2"/>
        </w:numPr>
        <w:spacing w:before="60" w:after="60"/>
      </w:pPr>
      <w:r>
        <w:rPr>
          <w:rFonts w:ascii="Arial" w:cs="Arial" w:eastAsia="Arial" w:hAnsi="Arial"/>
          <w:color w:val="404040"/>
          <w:sz w:val="22"/>
          <w:szCs w:val="22"/>
        </w:rPr>
        <w:t xml:space="preserve">No causal inference: The analysis identifies correlations (fiber optic customers churn more) but cannot establish causality. We cannot conclude from this data alone whether fiber optic service causes churn or whether a third variable explains both.</w:t>
      </w:r>
    </w:p>
    <w:p>
      <w:pPr>
        <w:pStyle w:val="ListParagraph"/>
        <w:numPr>
          <w:ilvl w:val="0"/>
          <w:numId w:val="2"/>
        </w:numPr>
        <w:spacing w:before="60" w:after="60"/>
      </w:pPr>
      <w:r>
        <w:rPr>
          <w:rFonts w:ascii="Arial" w:cs="Arial" w:eastAsia="Arial" w:hAnsi="Arial"/>
          <w:color w:val="404040"/>
          <w:sz w:val="22"/>
          <w:szCs w:val="22"/>
        </w:rPr>
        <w:t xml:space="preserve">Risk score is heuristic: The churn risk score in Q11 uses manually assigned weights. In a production setting this would be replaced by a trained classification model validated on held-out data.</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Next Steps</w:t>
      </w:r>
    </w:p>
    <w:p>
      <w:pPr>
        <w:pStyle w:val="ListParagraph"/>
        <w:numPr>
          <w:ilvl w:val="0"/>
          <w:numId w:val="2"/>
        </w:numPr>
        <w:spacing w:before="60" w:after="60"/>
      </w:pPr>
      <w:r>
        <w:rPr>
          <w:rFonts w:ascii="Arial" w:cs="Arial" w:eastAsia="Arial" w:hAnsi="Arial"/>
          <w:color w:val="404040"/>
          <w:sz w:val="22"/>
          <w:szCs w:val="22"/>
        </w:rPr>
        <w:t xml:space="preserve">Python ML model: Train an XGBoost churn prediction model using the SQL-derived features (addon_count, tenure_bucket, spend_quartile, contract_type, internet_service). Write prediction scores back to the MySQL database as a new column. Surface the churn probability in Power BI alongside the existing segmentation visuals.</w:t>
      </w:r>
    </w:p>
    <w:p>
      <w:pPr>
        <w:pStyle w:val="ListParagraph"/>
        <w:numPr>
          <w:ilvl w:val="0"/>
          <w:numId w:val="2"/>
        </w:numPr>
        <w:spacing w:before="60" w:after="60"/>
      </w:pPr>
      <w:r>
        <w:rPr>
          <w:rFonts w:ascii="Arial" w:cs="Arial" w:eastAsia="Arial" w:hAnsi="Arial"/>
          <w:color w:val="404040"/>
          <w:sz w:val="22"/>
          <w:szCs w:val="22"/>
        </w:rPr>
        <w:t xml:space="preserve">Live database connection: Replace the static CSV import in Power BI with a DirectQuery connection to the MySQL database. This enables the dashboard to reflect any new data without manual refresh.</w:t>
      </w:r>
    </w:p>
    <w:p>
      <w:pPr>
        <w:pStyle w:val="ListParagraph"/>
        <w:numPr>
          <w:ilvl w:val="0"/>
          <w:numId w:val="2"/>
        </w:numPr>
        <w:spacing w:before="60" w:after="60"/>
      </w:pPr>
      <w:r>
        <w:rPr>
          <w:rFonts w:ascii="Arial" w:cs="Arial" w:eastAsia="Arial" w:hAnsi="Arial"/>
          <w:color w:val="404040"/>
          <w:sz w:val="22"/>
          <w:szCs w:val="22"/>
        </w:rPr>
        <w:t xml:space="preserve">Event-level data: Instrument real customer data with event timestamps to build month-by-month cohort retention curves and proper survival analysis — the gold standard for subscription business churn modelling.</w:t>
      </w:r>
    </w:p>
    <w:p>
      <w:pPr>
        <w:pStyle w:val="ListParagraph"/>
        <w:numPr>
          <w:ilvl w:val="0"/>
          <w:numId w:val="2"/>
        </w:numPr>
        <w:spacing w:before="60" w:after="60"/>
      </w:pPr>
      <w:r>
        <w:rPr>
          <w:rFonts w:ascii="Arial" w:cs="Arial" w:eastAsia="Arial" w:hAnsi="Arial"/>
          <w:color w:val="404040"/>
          <w:sz w:val="22"/>
          <w:szCs w:val="22"/>
        </w:rPr>
        <w:t xml:space="preserve">A/B testing: Deploy the three highest-confidence interventions (annual plan incentive at month 3, auto-pay enrolment offer, bundle upsell for 0-add-on customers) as properly randomised A/B tests and measure actual churn impact against the control group.</w:t>
      </w:r>
    </w:p>
    <w:p>
      <w:pPr>
        <w:spacing w:before="0" w:after="240"/>
      </w:pPr>
      <w:r>
        <w:t xml:space="preserve"/>
      </w:r>
    </w:p>
    <w:p>
      <w:pPr>
        <w:pBdr>
          <w:top w:val="single" w:color="2E75B6" w:sz="6" w:space="4"/>
        </w:pBdr>
        <w:spacing w:before="200" w:after="100"/>
        <w:jc w:val="center"/>
      </w:pPr>
      <w:r>
        <w:rPr>
          <w:rFonts w:ascii="Arial" w:cs="Arial" w:eastAsia="Arial" w:hAnsi="Arial"/>
          <w:i/>
          <w:iCs/>
          <w:color w:val="595959"/>
          <w:sz w:val="20"/>
          <w:szCs w:val="20"/>
        </w:rPr>
        <w:t xml:space="preserve">End of Document</w:t>
      </w:r>
    </w:p>
    <w:p>
      <w:pPr>
        <w:jc w:val="center"/>
      </w:pPr>
      <w:r>
        <w:rPr>
          <w:rFonts w:ascii="Arial" w:cs="Arial" w:eastAsia="Arial" w:hAnsi="Arial"/>
          <w:color w:val="595959"/>
          <w:sz w:val="18"/>
          <w:szCs w:val="18"/>
        </w:rPr>
        <w:t xml:space="preserve">All SQL scripts, data files, and the live dashboard are available in the GitHub repository.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120"/>
    </w:pPr>
    <w:r>
      <w:rPr>
        <w:rFonts w:ascii="Arial" w:cs="Arial" w:eastAsia="Arial" w:hAnsi="Arial"/>
        <w:color w:val="595959"/>
        <w:sz w:val="16"/>
        <w:szCs w:val="16"/>
      </w:rPr>
      <w:t xml:space="preserve">Confidential — Portfolio Project</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595959"/>
        <w:sz w:val="18"/>
        <w:szCs w:val="18"/>
      </w:rPr>
      <w:t xml:space="preserve">Telco Customer Churn Analysis  |  SQL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2026-03-29T12:16:11.609Z</dcterms:created>
  <dcterms:modified xsi:type="dcterms:W3CDTF">2026-03-29T12:16:11.610Z</dcterms:modified>
</cp:coreProperties>
</file>

<file path=docProps/custom.xml><?xml version="1.0" encoding="utf-8"?>
<Properties xmlns="http://schemas.openxmlformats.org/officeDocument/2006/custom-properties" xmlns:vt="http://schemas.openxmlformats.org/officeDocument/2006/docPropsVTypes"/>
</file>