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0C1E" w:rsidRPr="00E70C1E" w:rsidRDefault="00E70C1E" w:rsidP="00E70C1E">
      <w:pPr>
        <w:widowControl/>
        <w:spacing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E70C1E">
        <w:rPr>
          <w:rFonts w:ascii="Arial" w:eastAsia="宋体" w:hAnsi="Arial" w:cs="Arial"/>
          <w:color w:val="333333"/>
          <w:kern w:val="0"/>
          <w:sz w:val="24"/>
          <w:szCs w:val="24"/>
        </w:rPr>
        <w:t>韧性饼干，韧性饼干是一种大类产品，这种饼干表面的花纹呈平面</w:t>
      </w:r>
      <w:proofErr w:type="gramStart"/>
      <w:r w:rsidRPr="00E70C1E">
        <w:rPr>
          <w:rFonts w:ascii="Arial" w:eastAsia="宋体" w:hAnsi="Arial" w:cs="Arial"/>
          <w:color w:val="333333"/>
          <w:kern w:val="0"/>
          <w:sz w:val="24"/>
          <w:szCs w:val="24"/>
        </w:rPr>
        <w:t>凹</w:t>
      </w:r>
      <w:proofErr w:type="gramEnd"/>
      <w:r w:rsidRPr="00E70C1E">
        <w:rPr>
          <w:rFonts w:ascii="Arial" w:eastAsia="宋体" w:hAnsi="Arial" w:cs="Arial"/>
          <w:color w:val="333333"/>
          <w:kern w:val="0"/>
          <w:sz w:val="24"/>
          <w:szCs w:val="24"/>
        </w:rPr>
        <w:t>纹型，表面较光洁，松脆爽口，香味淡雅，同等重情况下其体积一般要比粗饼干、香酥饼干大一些。产品主要作为点心食用，但</w:t>
      </w:r>
      <w:proofErr w:type="gramStart"/>
      <w:r w:rsidRPr="00E70C1E">
        <w:rPr>
          <w:rFonts w:ascii="Arial" w:eastAsia="宋体" w:hAnsi="Arial" w:cs="Arial"/>
          <w:color w:val="333333"/>
          <w:kern w:val="0"/>
          <w:sz w:val="24"/>
          <w:szCs w:val="24"/>
        </w:rPr>
        <w:t>亦可充做主食</w:t>
      </w:r>
      <w:proofErr w:type="gramEnd"/>
      <w:r w:rsidRPr="00E70C1E">
        <w:rPr>
          <w:rFonts w:ascii="Arial" w:eastAsia="宋体" w:hAnsi="Arial" w:cs="Arial"/>
          <w:color w:val="333333"/>
          <w:kern w:val="0"/>
          <w:sz w:val="24"/>
          <w:szCs w:val="24"/>
        </w:rPr>
        <w:t>食用。根据配方和生产的工艺的不同甜饼可分为两大类，即韧性饼干和酥性饼干</w:t>
      </w:r>
    </w:p>
    <w:p w:rsidR="00E70C1E" w:rsidRPr="00E70C1E" w:rsidRDefault="00E70C1E" w:rsidP="00E70C1E">
      <w:pPr>
        <w:widowControl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bookmarkStart w:id="0" w:name="_GoBack"/>
      <w:r w:rsidRPr="00E70C1E">
        <w:rPr>
          <w:rFonts w:ascii="Arial" w:eastAsia="宋体" w:hAnsi="Arial" w:cs="Arial"/>
          <w:noProof/>
          <w:color w:val="000000"/>
          <w:kern w:val="0"/>
          <w:sz w:val="18"/>
          <w:szCs w:val="18"/>
        </w:rPr>
        <w:drawing>
          <wp:inline distT="0" distB="0" distL="0" distR="0">
            <wp:extent cx="5274777" cy="3181350"/>
            <wp:effectExtent l="0" t="0" r="2540" b="0"/>
            <wp:docPr id="1" name="圖片 1" descr="https://ss0.baidu.com/6ONWsjip0QIZ8tyhnq/it/u=2795141466,2792502995&amp;fm=173&amp;s=95387E96726915073CAEACEE03003039&amp;w=640&amp;h=386&amp;img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s0.baidu.com/6ONWsjip0QIZ8tyhnq/it/u=2795141466,2792502995&amp;fm=173&amp;s=95387E96726915073CAEACEE03003039&amp;w=640&amp;h=386&amp;img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7215" cy="3182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8D02ED" w:rsidRDefault="008D02ED"/>
    <w:sectPr w:rsidR="008D02ED" w:rsidSect="001C3F0E">
      <w:pgSz w:w="11907" w:h="16840" w:code="9"/>
      <w:pgMar w:top="1440" w:right="1797" w:bottom="1440" w:left="1797" w:header="851" w:footer="992" w:gutter="0"/>
      <w:cols w:space="425"/>
      <w:docGrid w:type="linesAndChar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EC5"/>
    <w:rsid w:val="001B1D65"/>
    <w:rsid w:val="001C3F0E"/>
    <w:rsid w:val="00377D72"/>
    <w:rsid w:val="003B09A1"/>
    <w:rsid w:val="008D02ED"/>
    <w:rsid w:val="00CE3D2A"/>
    <w:rsid w:val="00CE5EC5"/>
    <w:rsid w:val="00E70C1E"/>
    <w:rsid w:val="00FB7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8FB489-4811-4280-8EE9-995EAE8A8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E70C1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558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480220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Katia Tilly</dc:creator>
  <cp:keywords/>
  <dc:description/>
  <cp:lastModifiedBy>Katia Tilly</cp:lastModifiedBy>
  <cp:revision>2</cp:revision>
  <dcterms:created xsi:type="dcterms:W3CDTF">2018-12-04T13:10:00Z</dcterms:created>
  <dcterms:modified xsi:type="dcterms:W3CDTF">2018-12-04T13:10:00Z</dcterms:modified>
</cp:coreProperties>
</file>