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Explained for Beginners</w:t>
      </w:r>
    </w:p>
    <w:p>
      <w:pPr>
        <w:spacing w:after="300"/>
      </w:pPr>
      <w:r>
        <w:rPr>
          <w:color w:val="526579"/>
          <w:sz w:val="26"/>
        </w:rPr>
        <w:t>How Docta finds food information and turns it into nutrition estimates</w:t>
      </w:r>
    </w:p>
    <w:p>
      <w:r>
        <w:rPr>
          <w:b/>
        </w:rPr>
        <w:t xml:space="preserve">RAG means Retrieval-Augmented Generation. </w:t>
      </w:r>
      <w:r>
        <w:t>It is a way to let a software system look up relevant information from a trusted collection before using that information to answer a question. In Docta, the data pipeline applies the retrieval part to food and nutrition records: it finds the best matching dish, reads its structured nutrition profile, and scales that profile to a portion size. The main calculation is performed by ordinary code, rather than by asking a language model to invent nutrition values.</w:t>
      </w:r>
    </w:p>
    <w:tbl>
      <w:tblPr>
        <w:tblW w:type="auto" w:w="0"/>
        <w:jc w:val="center"/>
        <w:tblLayout w:type="autofit"/>
        <w:tblLook w:firstColumn="1" w:firstRow="1" w:lastColumn="0" w:lastRow="0" w:noHBand="0" w:noVBand="1" w:val="04A0"/>
      </w:tblPr>
      <w:tblGrid>
        <w:gridCol w:w="9994"/>
      </w:tblGrid>
      <w:tr>
        <w:tc>
          <w:tcPr>
            <w:tcW w:type="dxa" w:w="9994"/>
            <w:shd w:fill="EAF4F5"/>
            <w:vAlign w:val="center"/>
          </w:tcPr>
          <w:p>
            <w:pPr>
              <w:spacing w:after="40" w:before="40"/>
            </w:pPr>
            <w:r/>
            <w:r>
              <w:rPr>
                <w:rFonts w:ascii="Aptos" w:hAnsi="Aptos"/>
                <w:b/>
                <w:color w:val="17324D"/>
                <w:sz w:val="20"/>
              </w:rPr>
              <w:t>In one sentence: Docta matches a dish name to a known food record, then uses the record and the chosen portion to estimate nutrients.</w:t>
            </w:r>
          </w:p>
        </w:tc>
      </w:tr>
    </w:tbl>
    <w:p>
      <w:pPr>
        <w:pStyle w:val="Heading1"/>
      </w:pPr>
      <w:r>
        <w:t>What RAG means</w:t>
      </w:r>
    </w:p>
    <w:p>
      <w:r>
        <w:t>Imagine asking a librarian a question. The librarian first finds useful pages in a collection, then uses those pages to help answer you. RAG follows a similar pattern in software. “Retrieval” means finding relevant stored information. “Augmented” means adding that information to the work the system is doing. “Generation” usually means composing a natural-language response from it.</w:t>
      </w:r>
    </w:p>
    <w:p>
      <w:r>
        <w:t>A typical RAG system turns text into numerical representations called embeddings. Texts with related meaning tend to have nearby representations. A vector database stores these representations and can search for records related to a new query, even when the wording is not identical. The database can also keep ordinary fields, called metadata, alongside each record.</w:t>
      </w:r>
    </w:p>
    <w:p>
      <w:r>
        <w:t>RAG is useful when an application needs information from its own data, which may be too large, specific, or changeable to place directly inside a model. Retrieval can help ground a response in that collection. It does not guarantee that the collection is complete or that a match is correct, so good data, sensible matching, and clear fallback behavior still matter.</w:t>
      </w:r>
    </w:p>
    <w:p>
      <w:pPr>
        <w:pStyle w:val="Heading1"/>
      </w:pPr>
      <w:r>
        <w:t>How the Docta data pipeline prepares knowledge</w:t>
      </w:r>
    </w:p>
    <w:p>
      <w:r>
        <w:t>Docta’s pipeline builds a compact food knowledge base from nutrition tables and recipe data. Its focus includes Nigerian dishes such as jollof rice, egusi soup, amala, fried plantain, and moi moi.</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7324D"/>
          </w:tcPr>
          <w:p>
            <w:pPr>
              <w:spacing w:after="40" w:before="40"/>
            </w:pPr>
            <w:r/>
            <w:r>
              <w:rPr>
                <w:rFonts w:ascii="Aptos" w:hAnsi="Aptos"/>
                <w:b/>
                <w:color w:val="FFFFFF"/>
                <w:sz w:val="19"/>
              </w:rPr>
              <w:t>Pipeline step</w:t>
            </w:r>
          </w:p>
        </w:tc>
        <w:tc>
          <w:tcPr>
            <w:tcW w:type="dxa" w:w="4997"/>
            <w:vAlign w:val="center"/>
            <w:shd w:fill="17324D"/>
          </w:tcPr>
          <w:p>
            <w:pPr>
              <w:spacing w:after="40" w:before="40"/>
            </w:pPr>
            <w:r/>
            <w:r>
              <w:rPr>
                <w:rFonts w:ascii="Aptos" w:hAnsi="Aptos"/>
                <w:b/>
                <w:color w:val="FFFFFF"/>
                <w:sz w:val="19"/>
              </w:rPr>
              <w:t>What happens</w:t>
            </w:r>
          </w:p>
        </w:tc>
      </w:tr>
      <w:tr>
        <w:tc>
          <w:tcPr>
            <w:tcW w:type="dxa" w:w="4997"/>
            <w:vAlign w:val="center"/>
          </w:tcPr>
          <w:p>
            <w:pPr>
              <w:spacing w:after="40" w:before="40"/>
            </w:pPr>
            <w:r/>
            <w:r>
              <w:rPr>
                <w:rFonts w:ascii="Aptos" w:hAnsi="Aptos"/>
                <w:b/>
                <w:color w:val="17324D"/>
                <w:sz w:val="18"/>
              </w:rPr>
              <w:t>1. Read food composition data</w:t>
            </w:r>
          </w:p>
        </w:tc>
        <w:tc>
          <w:tcPr>
            <w:tcW w:type="dxa" w:w="4997"/>
            <w:vAlign w:val="center"/>
          </w:tcPr>
          <w:p>
            <w:pPr>
              <w:spacing w:after="40" w:before="40"/>
            </w:pPr>
            <w:r/>
            <w:r>
              <w:rPr>
                <w:rFonts w:ascii="Aptos" w:hAnsi="Aptos"/>
                <w:b w:val="0"/>
                <w:sz w:val="18"/>
              </w:rPr>
              <w:t>The ingestion step reads Nigerian or FAO/INFOODS food composition data and normalizes ingredient nutrients into a consistent format, generally per 100 grams.</w:t>
            </w:r>
          </w:p>
        </w:tc>
      </w:tr>
      <w:tr>
        <w:tc>
          <w:tcPr>
            <w:tcW w:type="dxa" w:w="4997"/>
            <w:vAlign w:val="center"/>
          </w:tcPr>
          <w:p>
            <w:pPr>
              <w:spacing w:after="40" w:before="40"/>
            </w:pPr>
            <w:r/>
            <w:r>
              <w:rPr>
                <w:rFonts w:ascii="Aptos" w:hAnsi="Aptos"/>
                <w:b/>
                <w:color w:val="17324D"/>
                <w:sz w:val="18"/>
              </w:rPr>
              <w:t>2. Build finished dish records</w:t>
            </w:r>
          </w:p>
        </w:tc>
        <w:tc>
          <w:tcPr>
            <w:tcW w:type="dxa" w:w="4997"/>
            <w:vAlign w:val="center"/>
          </w:tcPr>
          <w:p>
            <w:pPr>
              <w:spacing w:after="40" w:before="40"/>
            </w:pPr>
            <w:r/>
            <w:r>
              <w:rPr>
                <w:rFonts w:ascii="Aptos" w:hAnsi="Aptos"/>
                <w:b w:val="0"/>
                <w:sz w:val="18"/>
              </w:rPr>
              <w:t>A recipe-to-ingredient lookup combines ingredient profiles and recipe quantities. The composite dish builder estimates nutrition for the finished dish, including its cooking-yield adjustment, and saves a cooked per-100-gram profile.</w:t>
            </w:r>
          </w:p>
        </w:tc>
      </w:tr>
      <w:tr>
        <w:tc>
          <w:tcPr>
            <w:tcW w:type="dxa" w:w="4997"/>
            <w:vAlign w:val="center"/>
          </w:tcPr>
          <w:p>
            <w:pPr>
              <w:spacing w:after="40" w:before="40"/>
            </w:pPr>
            <w:r/>
            <w:r>
              <w:rPr>
                <w:rFonts w:ascii="Aptos" w:hAnsi="Aptos"/>
                <w:b/>
                <w:color w:val="17324D"/>
                <w:sz w:val="18"/>
              </w:rPr>
              <w:t>3. Prepare search records</w:t>
            </w:r>
          </w:p>
        </w:tc>
        <w:tc>
          <w:tcPr>
            <w:tcW w:type="dxa" w:w="4997"/>
            <w:vAlign w:val="center"/>
          </w:tcPr>
          <w:p>
            <w:pPr>
              <w:spacing w:after="40" w:before="40"/>
            </w:pPr>
            <w:r/>
            <w:r>
              <w:rPr>
                <w:rFonts w:ascii="Aptos" w:hAnsi="Aptos"/>
                <w:b w:val="0"/>
                <w:sz w:val="18"/>
              </w:rPr>
              <w:t>The indexer creates a short text description for each dish using its name, identifier, aliases, ingredients, and description. It keeps structured details such as dish ID and nutrition with the record.</w:t>
            </w:r>
          </w:p>
        </w:tc>
      </w:tr>
      <w:tr>
        <w:tc>
          <w:tcPr>
            <w:tcW w:type="dxa" w:w="4997"/>
            <w:vAlign w:val="center"/>
          </w:tcPr>
          <w:p>
            <w:pPr>
              <w:spacing w:after="40" w:before="40"/>
            </w:pPr>
            <w:r/>
            <w:r>
              <w:rPr>
                <w:rFonts w:ascii="Aptos" w:hAnsi="Aptos"/>
                <w:b/>
                <w:color w:val="17324D"/>
                <w:sz w:val="18"/>
              </w:rPr>
              <w:t>4. Find a dish for a query</w:t>
            </w:r>
          </w:p>
        </w:tc>
        <w:tc>
          <w:tcPr>
            <w:tcW w:type="dxa" w:w="4997"/>
            <w:vAlign w:val="center"/>
          </w:tcPr>
          <w:p>
            <w:pPr>
              <w:spacing w:after="40" w:before="40"/>
            </w:pPr>
            <w:r/>
            <w:r>
              <w:rPr>
                <w:rFonts w:ascii="Aptos" w:hAnsi="Aptos"/>
                <w:b w:val="0"/>
                <w:sz w:val="18"/>
              </w:rPr>
              <w:t>At analysis time, the search engine checks exact names and aliases first. If configured, it can then search dish descriptions by vector similarity. It has a token-overlap fallback and a generic profile for items it cannot map.</w:t>
            </w:r>
          </w:p>
        </w:tc>
      </w:tr>
      <w:tr>
        <w:tc>
          <w:tcPr>
            <w:tcW w:type="dxa" w:w="4997"/>
            <w:vAlign w:val="center"/>
          </w:tcPr>
          <w:p>
            <w:pPr>
              <w:spacing w:after="40" w:before="40"/>
            </w:pPr>
            <w:r/>
            <w:r>
              <w:rPr>
                <w:rFonts w:ascii="Aptos" w:hAnsi="Aptos"/>
                <w:b/>
                <w:color w:val="17324D"/>
                <w:sz w:val="18"/>
              </w:rPr>
              <w:t>5. Scale nutrition to a portion</w:t>
            </w:r>
          </w:p>
        </w:tc>
        <w:tc>
          <w:tcPr>
            <w:tcW w:type="dxa" w:w="4997"/>
            <w:vAlign w:val="center"/>
          </w:tcPr>
          <w:p>
            <w:pPr>
              <w:spacing w:after="40" w:before="40"/>
            </w:pPr>
            <w:r/>
            <w:r>
              <w:rPr>
                <w:rFonts w:ascii="Aptos" w:hAnsi="Aptos"/>
                <w:b w:val="0"/>
                <w:sz w:val="18"/>
              </w:rPr>
              <w:t>The portion service maps familiar units, such as a serving spoon, wrap, or slice, to an estimated weight in grams. The macro scaler applies the per-100-gram nutrition profile to that weight and adds item values for the meal.</w:t>
            </w:r>
          </w:p>
        </w:tc>
      </w:tr>
    </w:tbl>
    <w:p>
      <w:pPr>
        <w:pStyle w:val="Heading1"/>
      </w:pPr>
      <w:r>
        <w:t>From a meal image to a nutrition estimate</w:t>
      </w:r>
    </w:p>
    <w:p>
      <w:r>
        <w:t>The backend connects food detection with the data pipeline. The computer-vision service identifies likely dishes in an image. The orchestrator then asks the nutrition service for each dish’s available portion units and its base nutrition. The result can be returned with a suggested portion, and the user can select a different unit or quantity for scaling.</w:t>
      </w:r>
    </w:p>
    <w:p>
      <w:pPr>
        <w:pStyle w:val="ListNumber"/>
        <w:spacing w:after="60"/>
      </w:pPr>
      <w:r>
        <w:t>The image analysis suggests a dish label, such as “jollof rice.”</w:t>
      </w:r>
    </w:p>
    <w:p>
      <w:pPr>
        <w:pStyle w:val="ListNumber"/>
        <w:spacing w:after="60"/>
      </w:pPr>
      <w:r>
        <w:t>The RAG search resolves that label to a known dish record, using an exact alias match when possible and other search methods when needed.</w:t>
      </w:r>
    </w:p>
    <w:p>
      <w:pPr>
        <w:pStyle w:val="ListNumber"/>
        <w:spacing w:after="60"/>
      </w:pPr>
      <w:r>
        <w:t>The matched record supplies nutrients per 100 grams and portion choices. For example, the portion registry defines a jollof-rice serving spoon as about 120 grams.</w:t>
      </w:r>
    </w:p>
    <w:p>
      <w:pPr>
        <w:pStyle w:val="ListNumber"/>
        <w:spacing w:after="60"/>
      </w:pPr>
      <w:r>
        <w:t>If a person chooses two serving spoons, the estimated weight is 2 × 120 g = 240 g.</w:t>
      </w:r>
    </w:p>
    <w:p>
      <w:pPr>
        <w:pStyle w:val="ListNumber"/>
        <w:spacing w:after="60"/>
      </w:pPr>
      <w:r>
        <w:t>For each nutrient, the estimate is (amount per 100 g ÷ 100) × 240 g. The pipeline adds the results for all foods in the meal.</w:t>
      </w:r>
    </w:p>
    <w:p>
      <w:r>
        <w:t>This separates two jobs: computer vision proposes what food is present, while the nutrition data pipeline supplies the reference profile and arithmetic. The image model’s confidence describes its detection; it is not a guarantee that the food match or portion estimate is exact.</w:t>
      </w:r>
    </w:p>
    <w:p>
      <w:pPr>
        <w:pStyle w:val="Heading1"/>
      </w:pPr>
      <w:r>
        <w:t>Where retrieval happens and what is generated</w:t>
      </w:r>
    </w:p>
    <w:p>
      <w:r>
        <w:t>The data pipeline can use Qdrant, a vector database, together with embeddings to retrieve dish records by semantic similarity. It also supports exact alias lookup and an in-memory token-similarity fallback. Once a dish is selected, the service reads the stored nutrition fields and applies deterministic portion calculations. In this flow, “RAG” is a useful label for retrieval-augmented data lookup, but the code path does not need a generative language model to write a nutrition answer.</w:t>
      </w:r>
    </w:p>
    <w:p>
      <w:r>
        <w:t>The backend is configured for live services by default. RAGClient constructs RAGService without forcing memory mode, so the pipeline requires OpenAI embeddings and a reachable Qdrant collection. Missing credentials, connection errors, or unmatched dishes now surface as errors instead of switching to mock nutrition or a generic profile. Image analysis also requires a configured CV_SERVICE_URL and no longer substitutes mock detections. These external services must be configured before live analysis can run.</w:t>
      </w:r>
    </w:p>
    <w:p>
      <w:pPr>
        <w:pStyle w:val="Heading1"/>
      </w:pPr>
      <w:r>
        <w:t>What this approach does well</w:t>
      </w:r>
    </w:p>
    <w:p>
      <w:pPr>
        <w:pStyle w:val="ListBullet"/>
        <w:spacing w:after="60"/>
      </w:pPr>
      <w:r>
        <w:t>Uses a curated, local collection of dish profiles instead of relying on a model to recall nutrition facts from memory.</w:t>
      </w:r>
    </w:p>
    <w:p>
      <w:pPr>
        <w:pStyle w:val="ListBullet"/>
        <w:spacing w:after="60"/>
      </w:pPr>
      <w:r>
        <w:t>Can connect alternate spellings or colloquial names to the same dish through aliases.</w:t>
      </w:r>
    </w:p>
    <w:p>
      <w:pPr>
        <w:pStyle w:val="ListBullet"/>
        <w:spacing w:after="60"/>
      </w:pPr>
      <w:r>
        <w:t>Keeps recipe construction, portion conversion, and nutrient arithmetic visible in code and data files.</w:t>
      </w:r>
    </w:p>
    <w:p>
      <w:pPr>
        <w:pStyle w:val="ListBullet"/>
        <w:spacing w:after="60"/>
      </w:pPr>
      <w:r>
        <w:t>Can return an explicit generic fallback when no dish can be mapped, rather than silently pretending every match is certain.</w:t>
      </w:r>
    </w:p>
    <w:p>
      <w:pPr>
        <w:pStyle w:val="Heading1"/>
      </w:pPr>
      <w:r>
        <w:t>Limits to keep in mind</w:t>
      </w:r>
    </w:p>
    <w:p>
      <w:pPr>
        <w:pStyle w:val="ListBullet"/>
        <w:spacing w:after="60"/>
      </w:pPr>
      <w:r>
        <w:t>Retrieval can choose the wrong dish when names are vague, dishes look similar, or the reference data lacks a close match.</w:t>
      </w:r>
    </w:p>
    <w:p>
      <w:pPr>
        <w:pStyle w:val="ListBullet"/>
        <w:spacing w:after="60"/>
      </w:pPr>
      <w:r>
        <w:t>Nutrition values are estimates. Recipes, ingredients, cooking methods, brands, and serving sizes vary between households and restaurants.</w:t>
      </w:r>
    </w:p>
    <w:p>
      <w:pPr>
        <w:pStyle w:val="ListBullet"/>
        <w:spacing w:after="60"/>
      </w:pPr>
      <w:r>
        <w:t>A portion unit’s gram weight is a reference estimate. An image alone may not measure the true weight.</w:t>
      </w:r>
    </w:p>
    <w:p>
      <w:pPr>
        <w:pStyle w:val="ListBullet"/>
        <w:spacing w:after="60"/>
      </w:pPr>
      <w:r>
        <w:t>A generic fallback is less specific than a matched dish profile and should be understood as a rough estimate.</w:t>
      </w:r>
    </w:p>
    <w:p>
      <w:pPr>
        <w:pStyle w:val="ListBullet"/>
        <w:spacing w:after="60"/>
      </w:pPr>
      <w:r>
        <w:t>The configured mode matters: the presence of vector-search code does not mean the running backend is using a vector database.</w:t>
      </w:r>
    </w:p>
    <w:p>
      <w:pPr>
        <w:pStyle w:val="Heading1"/>
      </w:pPr>
      <w:r>
        <w:t>A small glossary</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before="40"/>
            </w:pPr>
            <w:r/>
            <w:r>
              <w:rPr>
                <w:rFonts w:ascii="Aptos" w:hAnsi="Aptos"/>
                <w:b/>
                <w:color w:val="17324D"/>
                <w:sz w:val="18"/>
              </w:rPr>
              <w:t>RAG</w:t>
            </w:r>
          </w:p>
        </w:tc>
        <w:tc>
          <w:tcPr>
            <w:tcW w:type="dxa" w:w="4997"/>
            <w:vAlign w:val="center"/>
          </w:tcPr>
          <w:p>
            <w:pPr>
              <w:spacing w:after="40" w:before="40"/>
            </w:pPr>
            <w:r/>
            <w:r>
              <w:rPr>
                <w:rFonts w:ascii="Aptos" w:hAnsi="Aptos"/>
                <w:b w:val="0"/>
                <w:sz w:val="18"/>
              </w:rPr>
              <w:t>Retrieval-Augmented Generation: retrieve relevant stored information and use it to support a result.</w:t>
            </w:r>
          </w:p>
        </w:tc>
      </w:tr>
      <w:tr>
        <w:tc>
          <w:tcPr>
            <w:tcW w:type="dxa" w:w="4997"/>
            <w:vAlign w:val="center"/>
          </w:tcPr>
          <w:p>
            <w:pPr>
              <w:spacing w:after="40" w:before="40"/>
            </w:pPr>
            <w:r/>
            <w:r>
              <w:rPr>
                <w:rFonts w:ascii="Aptos" w:hAnsi="Aptos"/>
                <w:b/>
                <w:color w:val="17324D"/>
                <w:sz w:val="18"/>
              </w:rPr>
              <w:t>Embedding</w:t>
            </w:r>
          </w:p>
        </w:tc>
        <w:tc>
          <w:tcPr>
            <w:tcW w:type="dxa" w:w="4997"/>
            <w:vAlign w:val="center"/>
          </w:tcPr>
          <w:p>
            <w:pPr>
              <w:spacing w:after="40" w:before="40"/>
            </w:pPr>
            <w:r/>
            <w:r>
              <w:rPr>
                <w:rFonts w:ascii="Aptos" w:hAnsi="Aptos"/>
                <w:b w:val="0"/>
                <w:sz w:val="18"/>
              </w:rPr>
              <w:t>A list of numbers representing text in a way that can support meaning-based comparisons.</w:t>
            </w:r>
          </w:p>
        </w:tc>
      </w:tr>
      <w:tr>
        <w:tc>
          <w:tcPr>
            <w:tcW w:type="dxa" w:w="4997"/>
            <w:vAlign w:val="center"/>
          </w:tcPr>
          <w:p>
            <w:pPr>
              <w:spacing w:after="40" w:before="40"/>
            </w:pPr>
            <w:r/>
            <w:r>
              <w:rPr>
                <w:rFonts w:ascii="Aptos" w:hAnsi="Aptos"/>
                <w:b/>
                <w:color w:val="17324D"/>
                <w:sz w:val="18"/>
              </w:rPr>
              <w:t>Vector database</w:t>
            </w:r>
          </w:p>
        </w:tc>
        <w:tc>
          <w:tcPr>
            <w:tcW w:type="dxa" w:w="4997"/>
            <w:vAlign w:val="center"/>
          </w:tcPr>
          <w:p>
            <w:pPr>
              <w:spacing w:after="40" w:before="40"/>
            </w:pPr>
            <w:r/>
            <w:r>
              <w:rPr>
                <w:rFonts w:ascii="Aptos" w:hAnsi="Aptos"/>
                <w:b w:val="0"/>
                <w:sz w:val="18"/>
              </w:rPr>
              <w:t>A database designed to store embeddings and find nearby, related records.</w:t>
            </w:r>
          </w:p>
        </w:tc>
      </w:tr>
      <w:tr>
        <w:tc>
          <w:tcPr>
            <w:tcW w:type="dxa" w:w="4997"/>
            <w:vAlign w:val="center"/>
          </w:tcPr>
          <w:p>
            <w:pPr>
              <w:spacing w:after="40" w:before="40"/>
            </w:pPr>
            <w:r/>
            <w:r>
              <w:rPr>
                <w:rFonts w:ascii="Aptos" w:hAnsi="Aptos"/>
                <w:b/>
                <w:color w:val="17324D"/>
                <w:sz w:val="18"/>
              </w:rPr>
              <w:t>Alias</w:t>
            </w:r>
          </w:p>
        </w:tc>
        <w:tc>
          <w:tcPr>
            <w:tcW w:type="dxa" w:w="4997"/>
            <w:vAlign w:val="center"/>
          </w:tcPr>
          <w:p>
            <w:pPr>
              <w:spacing w:after="40" w:before="40"/>
            </w:pPr>
            <w:r/>
            <w:r>
              <w:rPr>
                <w:rFonts w:ascii="Aptos" w:hAnsi="Aptos"/>
                <w:b w:val="0"/>
                <w:sz w:val="18"/>
              </w:rPr>
              <w:t>Another name or spelling that points to the same dish, such as a colloquial name.</w:t>
            </w:r>
          </w:p>
        </w:tc>
      </w:tr>
      <w:tr>
        <w:tc>
          <w:tcPr>
            <w:tcW w:type="dxa" w:w="4997"/>
            <w:vAlign w:val="center"/>
          </w:tcPr>
          <w:p>
            <w:pPr>
              <w:spacing w:after="40" w:before="40"/>
            </w:pPr>
            <w:r/>
            <w:r>
              <w:rPr>
                <w:rFonts w:ascii="Aptos" w:hAnsi="Aptos"/>
                <w:b/>
                <w:color w:val="17324D"/>
                <w:sz w:val="18"/>
              </w:rPr>
              <w:t>Per 100 grams</w:t>
            </w:r>
          </w:p>
        </w:tc>
        <w:tc>
          <w:tcPr>
            <w:tcW w:type="dxa" w:w="4997"/>
            <w:vAlign w:val="center"/>
          </w:tcPr>
          <w:p>
            <w:pPr>
              <w:spacing w:after="40" w:before="40"/>
            </w:pPr>
            <w:r/>
            <w:r>
              <w:rPr>
                <w:rFonts w:ascii="Aptos" w:hAnsi="Aptos"/>
                <w:b w:val="0"/>
                <w:sz w:val="18"/>
              </w:rPr>
              <w:t>A standard basis for comparing nutrition profiles and scaling them to different serving weights.</w:t>
            </w:r>
          </w:p>
        </w:tc>
      </w:tr>
      <w:tr>
        <w:tc>
          <w:tcPr>
            <w:tcW w:type="dxa" w:w="4997"/>
            <w:vAlign w:val="center"/>
          </w:tcPr>
          <w:p>
            <w:pPr>
              <w:spacing w:after="40" w:before="40"/>
            </w:pPr>
            <w:r/>
            <w:r>
              <w:rPr>
                <w:rFonts w:ascii="Aptos" w:hAnsi="Aptos"/>
                <w:b/>
                <w:color w:val="17324D"/>
                <w:sz w:val="18"/>
              </w:rPr>
              <w:t>Fallback</w:t>
            </w:r>
          </w:p>
        </w:tc>
        <w:tc>
          <w:tcPr>
            <w:tcW w:type="dxa" w:w="4997"/>
            <w:vAlign w:val="center"/>
          </w:tcPr>
          <w:p>
            <w:pPr>
              <w:spacing w:after="40" w:before="40"/>
            </w:pPr>
            <w:r/>
            <w:r>
              <w:rPr>
                <w:rFonts w:ascii="Aptos" w:hAnsi="Aptos"/>
                <w:b w:val="0"/>
                <w:sz w:val="18"/>
              </w:rPr>
              <w:t>A backup result used when the system cannot find a sufficiently good known match.</w:t>
            </w:r>
          </w:p>
        </w:tc>
      </w:tr>
    </w:tbl>
    <w:p>
      <w:pPr>
        <w:pStyle w:val="Heading1"/>
      </w:pPr>
      <w:r>
        <w:t>Project files to explore</w:t>
      </w:r>
    </w:p>
    <w:p>
      <w:r>
        <w:t>These files show how the described pieces are implemented:</w:t>
      </w:r>
    </w:p>
    <w:p>
      <w:pPr>
        <w:pStyle w:val="ListBullet"/>
        <w:spacing w:after="60"/>
      </w:pPr>
      <w:r>
        <w:t>backend/src/data_pipeline/src/ingest_wafct.py - reads and normalizes food composition data.</w:t>
      </w:r>
    </w:p>
    <w:p>
      <w:pPr>
        <w:pStyle w:val="ListBullet"/>
        <w:spacing w:after="60"/>
      </w:pPr>
      <w:r>
        <w:t>backend/src/data_pipeline/src/composite_dish_builder.py - builds dish profiles from recipes and ingredients.</w:t>
      </w:r>
    </w:p>
    <w:p>
      <w:pPr>
        <w:pStyle w:val="ListBullet"/>
        <w:spacing w:after="60"/>
      </w:pPr>
      <w:r>
        <w:t>backend/src/data_pipeline/src/vector_indexer.py - creates searchable dish records and indexes them.</w:t>
      </w:r>
    </w:p>
    <w:p>
      <w:pPr>
        <w:pStyle w:val="ListBullet"/>
        <w:spacing w:after="60"/>
      </w:pPr>
      <w:r>
        <w:t>backend/src/data_pipeline/src/semantic_search.py - matches queries, applies fallbacks, and attaches portion units.</w:t>
      </w:r>
    </w:p>
    <w:p>
      <w:pPr>
        <w:pStyle w:val="ListBullet"/>
        <w:spacing w:after="60"/>
      </w:pPr>
      <w:r>
        <w:t>backend/src/data_pipeline/src/portion_service.py and macro_scaler.py - convert portions to grams and scale nutrient values.</w:t>
      </w:r>
    </w:p>
    <w:p>
      <w:pPr>
        <w:pStyle w:val="ListBullet"/>
        <w:spacing w:after="60"/>
      </w:pPr>
      <w:r>
        <w:t>backend/src/data_pipeline/src/rag_service.py - provides the unified service interface.</w:t>
      </w:r>
    </w:p>
    <w:p>
      <w:pPr>
        <w:pStyle w:val="ListBullet"/>
        <w:spacing w:after="60"/>
      </w:pPr>
      <w:r>
        <w:t>backend/src/services/orchestrator_service.py and rag_client.py - connect detected dishes to nutrition lookup in the backend.</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A8795"/>
        <w:sz w:val="16"/>
      </w:rPr>
      <w:t>DOCTA  |  RAG beginner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A34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Explained for Beginners</dc:title>
  <dc:subject>How RAG works in data science and how the Docta data pipeline implements retrieval for food nutrition lookup</dc:subject>
  <dc:creator>Docta</dc:creator>
  <cp:keywords/>
  <dc:description>generated by python-docx</dc:description>
  <cp:lastModifiedBy/>
  <cp:revision>1</cp:revision>
  <dcterms:created xsi:type="dcterms:W3CDTF">2013-12-23T23:15:00Z</dcterms:created>
  <dcterms:modified xsi:type="dcterms:W3CDTF">2013-12-23T23:15:00Z</dcterms:modified>
  <cp:category/>
</cp:coreProperties>
</file>