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520"/>
          <w:tab w:val="left" w:pos="5940"/>
          <w:tab w:val="left" w:pos="6300"/>
        </w:tabs>
        <w:spacing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A </w:t>
      </w:r>
    </w:p>
    <w:p>
      <w:pPr>
        <w:tabs>
          <w:tab w:val="left" w:pos="1520"/>
          <w:tab w:val="left" w:pos="5940"/>
          <w:tab w:val="left" w:pos="6300"/>
        </w:tabs>
        <w:spacing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SYNOPSIS </w:t>
      </w:r>
    </w:p>
    <w:p>
      <w:pPr>
        <w:tabs>
          <w:tab w:val="left" w:pos="1520"/>
          <w:tab w:val="left" w:pos="5940"/>
          <w:tab w:val="left" w:pos="6300"/>
        </w:tabs>
        <w:spacing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of</w:t>
      </w:r>
    </w:p>
    <w:p>
      <w:pPr>
        <w:tabs>
          <w:tab w:val="left" w:pos="1520"/>
          <w:tab w:val="left" w:pos="5940"/>
          <w:tab w:val="left" w:pos="6300"/>
        </w:tabs>
        <w:spacing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MINOR PROJECT</w:t>
      </w:r>
    </w:p>
    <w:p>
      <w:pPr>
        <w:tabs>
          <w:tab w:val="left" w:pos="1520"/>
          <w:tab w:val="left" w:pos="5940"/>
          <w:tab w:val="left" w:pos="6300"/>
        </w:tabs>
        <w:spacing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on</w:t>
      </w:r>
    </w:p>
    <w:p>
      <w:pPr>
        <w:tabs>
          <w:tab w:val="left" w:pos="5940"/>
          <w:tab w:val="left" w:pos="6300"/>
        </w:tabs>
        <w:jc w:val="center"/>
        <w:rPr>
          <w:rFonts w:hint="default" w:ascii="Times New Roman" w:hAnsi="Times New Roman" w:eastAsia="Times New Roman" w:cs="Times New Roman"/>
          <w:b/>
          <w:sz w:val="36"/>
          <w:szCs w:val="36"/>
          <w:lang w:val="en-US"/>
        </w:rPr>
      </w:pPr>
      <w:r>
        <w:rPr>
          <w:rFonts w:hint="default" w:ascii="Times New Roman" w:hAnsi="Times New Roman" w:eastAsia="Times New Roman" w:cs="Times New Roman"/>
          <w:b/>
          <w:sz w:val="36"/>
          <w:szCs w:val="36"/>
          <w:highlight w:val="yellow"/>
          <w:lang w:val="en-US"/>
        </w:rPr>
        <w:t>Nutritional Value for Teenage Girls</w:t>
      </w:r>
    </w:p>
    <w:p>
      <w:pPr>
        <w:tabs>
          <w:tab w:val="left" w:pos="5940"/>
          <w:tab w:val="left" w:pos="6300"/>
        </w:tabs>
        <w:jc w:val="center"/>
        <w:rPr>
          <w:rFonts w:ascii="Times New Roman" w:hAnsi="Times New Roman" w:eastAsia="Times New Roman" w:cs="Times New Roman"/>
          <w:b/>
          <w:sz w:val="32"/>
          <w:szCs w:val="32"/>
        </w:rPr>
      </w:pPr>
    </w:p>
    <w:p>
      <w:pPr>
        <w:tabs>
          <w:tab w:val="left" w:pos="1520"/>
          <w:tab w:val="left" w:pos="5940"/>
          <w:tab w:val="left" w:pos="6300"/>
        </w:tabs>
        <w:rPr>
          <w:sz w:val="20"/>
          <w:szCs w:val="20"/>
        </w:rPr>
      </w:pPr>
    </w:p>
    <w:p>
      <w:pPr>
        <w:tabs>
          <w:tab w:val="left" w:pos="1520"/>
          <w:tab w:val="left" w:pos="5940"/>
          <w:tab w:val="left" w:pos="6300"/>
        </w:tabs>
        <w:jc w:val="center"/>
      </w:pPr>
      <w:r>
        <w:drawing>
          <wp:inline distT="0" distB="0" distL="0" distR="0">
            <wp:extent cx="1350010" cy="11734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5"/>
                    <a:srcRect/>
                    <a:stretch>
                      <a:fillRect/>
                    </a:stretch>
                  </pic:blipFill>
                  <pic:spPr>
                    <a:xfrm>
                      <a:off x="0" y="0"/>
                      <a:ext cx="1350278" cy="1173882"/>
                    </a:xfrm>
                    <a:prstGeom prst="rect">
                      <a:avLst/>
                    </a:prstGeom>
                  </pic:spPr>
                </pic:pic>
              </a:graphicData>
            </a:graphic>
          </wp:inline>
        </w:drawing>
      </w:r>
    </w:p>
    <w:p>
      <w:pPr>
        <w:tabs>
          <w:tab w:val="left" w:pos="1520"/>
          <w:tab w:val="left" w:pos="5940"/>
          <w:tab w:val="left" w:pos="6300"/>
        </w:tabs>
      </w:pPr>
    </w:p>
    <w:p>
      <w:pPr>
        <w:tabs>
          <w:tab w:val="left" w:pos="1520"/>
          <w:tab w:val="left" w:pos="5940"/>
          <w:tab w:val="left" w:pos="6300"/>
        </w:tabs>
      </w:pPr>
    </w:p>
    <w:p>
      <w:pPr>
        <w:spacing w:line="480" w:lineRule="auto"/>
        <w:jc w:val="center"/>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Submitted by</w:t>
      </w:r>
    </w:p>
    <w:p>
      <w:pPr>
        <w:spacing w:line="480" w:lineRule="auto"/>
        <w:jc w:val="center"/>
        <w:rPr>
          <w:rFonts w:hint="default" w:ascii="Times New Roman" w:hAnsi="Times New Roman" w:eastAsia="Times New Roman" w:cs="Times New Roman"/>
          <w:b/>
          <w:i/>
          <w:sz w:val="28"/>
          <w:szCs w:val="28"/>
          <w:highlight w:val="yellow"/>
          <w:lang w:val="en-US"/>
        </w:rPr>
      </w:pPr>
      <w:r>
        <w:rPr>
          <w:rFonts w:hint="default" w:ascii="Times New Roman" w:hAnsi="Times New Roman" w:eastAsia="Times New Roman" w:cs="Times New Roman"/>
          <w:b/>
          <w:i/>
          <w:sz w:val="28"/>
          <w:szCs w:val="28"/>
          <w:highlight w:val="yellow"/>
          <w:lang w:val="en-US"/>
        </w:rPr>
        <w:t xml:space="preserve">Garvita Mangrora </w:t>
      </w:r>
      <w:r>
        <w:rPr>
          <w:rFonts w:ascii="Times New Roman" w:hAnsi="Times New Roman" w:eastAsia="Times New Roman" w:cs="Times New Roman"/>
          <w:b/>
          <w:i/>
          <w:sz w:val="28"/>
          <w:szCs w:val="28"/>
          <w:highlight w:val="yellow"/>
        </w:rPr>
        <w:t>(</w:t>
      </w:r>
      <w:r>
        <w:rPr>
          <w:rFonts w:hint="default" w:ascii="Times New Roman" w:hAnsi="Times New Roman" w:eastAsia="Times New Roman" w:cs="Times New Roman"/>
          <w:b/>
          <w:i/>
          <w:sz w:val="28"/>
          <w:szCs w:val="28"/>
          <w:highlight w:val="yellow"/>
          <w:lang w:val="en-US"/>
        </w:rPr>
        <w:t>21EGICS034)</w:t>
      </w:r>
    </w:p>
    <w:p>
      <w:pPr>
        <w:spacing w:line="480" w:lineRule="auto"/>
        <w:jc w:val="center"/>
        <w:rPr>
          <w:rFonts w:ascii="Times New Roman" w:hAnsi="Times New Roman" w:eastAsia="Times New Roman" w:cs="Times New Roman"/>
          <w:b/>
          <w:i/>
          <w:sz w:val="28"/>
          <w:szCs w:val="28"/>
        </w:rPr>
      </w:pPr>
    </w:p>
    <w:p>
      <w:pPr>
        <w:spacing w:line="480" w:lineRule="auto"/>
        <w:jc w:val="center"/>
        <w:rPr>
          <w:rFonts w:ascii="Times New Roman" w:hAnsi="Times New Roman" w:eastAsia="Times New Roman" w:cs="Times New Roman"/>
          <w:b/>
          <w:i/>
          <w:sz w:val="28"/>
          <w:szCs w:val="28"/>
        </w:rPr>
      </w:pPr>
    </w:p>
    <w:p>
      <w:pPr>
        <w:spacing w:line="480" w:lineRule="auto"/>
        <w:rPr>
          <w:rFonts w:ascii="Times New Roman" w:hAnsi="Times New Roman" w:eastAsia="Times New Roman" w:cs="Times New Roman"/>
          <w:b/>
          <w:i/>
          <w:sz w:val="28"/>
          <w:szCs w:val="28"/>
        </w:rPr>
      </w:pPr>
    </w:p>
    <w:p>
      <w:pPr>
        <w:spacing w:line="480" w:lineRule="auto"/>
        <w:jc w:val="center"/>
        <w:rPr>
          <w:rFonts w:ascii="Times New Roman" w:hAnsi="Times New Roman" w:eastAsia="Times New Roman" w:cs="Times New Roman"/>
          <w:b/>
          <w:i/>
          <w:sz w:val="28"/>
          <w:szCs w:val="28"/>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Project Guide </w:t>
      </w: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 xml:space="preserve">                                                                   Head of </w:t>
      </w:r>
      <w:r>
        <w:rPr>
          <w:rFonts w:hint="default" w:ascii="Times New Roman" w:hAnsi="Times New Roman" w:eastAsia="Times New Roman" w:cs="Times New Roman"/>
          <w:b/>
          <w:sz w:val="26"/>
          <w:szCs w:val="26"/>
          <w:lang w:val="en-US"/>
        </w:rPr>
        <w:t xml:space="preserve"> </w:t>
      </w:r>
      <w:r>
        <w:rPr>
          <w:rFonts w:ascii="Times New Roman" w:hAnsi="Times New Roman" w:eastAsia="Times New Roman" w:cs="Times New Roman"/>
          <w:b/>
          <w:sz w:val="26"/>
          <w:szCs w:val="26"/>
        </w:rPr>
        <w:t>Department</w:t>
      </w:r>
      <w:r>
        <w:rPr>
          <w:rFonts w:ascii="Times New Roman" w:hAnsi="Times New Roman" w:eastAsia="Times New Roman" w:cs="Times New Roman"/>
          <w:b/>
          <w:sz w:val="26"/>
          <w:szCs w:val="26"/>
        </w:rPr>
        <w:tab/>
      </w:r>
    </w:p>
    <w:p>
      <w:pPr>
        <w:rPr>
          <w:rFonts w:ascii="Times New Roman" w:hAnsi="Times New Roman" w:eastAsia="Times New Roman" w:cs="Times New Roman"/>
          <w:b/>
          <w:sz w:val="26"/>
          <w:szCs w:val="26"/>
        </w:rPr>
      </w:pPr>
      <w:r>
        <w:rPr>
          <w:rFonts w:hint="default" w:ascii="Times New Roman" w:hAnsi="Times New Roman" w:eastAsia="Times New Roman" w:cs="Times New Roman"/>
          <w:b/>
          <w:sz w:val="26"/>
          <w:szCs w:val="26"/>
          <w:lang w:val="en-US"/>
        </w:rPr>
        <w:t>Food &amp; Nutrition</w:t>
      </w:r>
      <w:r>
        <w:rPr>
          <w:rFonts w:ascii="Times New Roman" w:hAnsi="Times New Roman" w:eastAsia="Times New Roman" w:cs="Times New Roman"/>
          <w:b/>
          <w:sz w:val="26"/>
          <w:szCs w:val="26"/>
        </w:rPr>
        <w:t xml:space="preserve">                                    </w:t>
      </w: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 xml:space="preserve">                           Dr. Mayank Patel   </w:t>
      </w:r>
    </w:p>
    <w:p>
      <w:pPr>
        <w:spacing w:line="276" w:lineRule="auto"/>
        <w:jc w:val="center"/>
        <w:rPr>
          <w:rFonts w:hint="default" w:ascii="Times New Roman" w:hAnsi="Times New Roman" w:eastAsia="Times New Roman" w:cs="Times New Roman"/>
          <w:b/>
          <w:sz w:val="52"/>
          <w:szCs w:val="52"/>
        </w:rPr>
      </w:pPr>
      <w:r>
        <w:rPr>
          <w:rFonts w:hint="default" w:ascii="Times New Roman" w:hAnsi="Times New Roman" w:eastAsia="Times New Roman" w:cs="Times New Roman"/>
          <w:b/>
          <w:sz w:val="52"/>
          <w:szCs w:val="52"/>
        </w:rPr>
        <w:t>Problem Statement:</w:t>
      </w: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52"/>
          <w:szCs w:val="52"/>
        </w:rPr>
      </w:pPr>
      <w:r>
        <w:rPr>
          <w:rFonts w:hint="default" w:ascii="Times New Roman" w:hAnsi="Times New Roman" w:eastAsia="SimSun" w:cs="Times New Roman"/>
          <w:sz w:val="36"/>
          <w:szCs w:val="36"/>
        </w:rPr>
        <w:t>Adolescent girls face unique nutritional challenges during a critical period of growth and development. Despite increased energy and nutrient needs, many teenage girls have poor dietary habits, leading to deficiencies in essential nutrients such as iron, calcium, and vitamin D. These deficiencies can result in anemia, weakened bone health, and impaired cognitive and physical development. Additionally, societal pressures and body image issues often contribute to unhealthy eating patterns. Addressing these nutritional gaps through education, balanced diet plans, and supportive environments is crucial for promoting the overall health and well-being of teenage girls.</w:t>
      </w: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52"/>
          <w:szCs w:val="52"/>
        </w:rPr>
      </w:pPr>
      <w:bookmarkStart w:id="0" w:name="_GoBack"/>
    </w:p>
    <w:bookmarkEnd w:id="0"/>
    <w:p>
      <w:pPr>
        <w:spacing w:line="276" w:lineRule="auto"/>
        <w:jc w:val="both"/>
        <w:rPr>
          <w:rFonts w:hint="default" w:ascii="Times New Roman" w:hAnsi="Times New Roman" w:eastAsia="Times New Roman" w:cs="Times New Roman"/>
          <w:b/>
          <w:sz w:val="52"/>
          <w:szCs w:val="52"/>
        </w:rPr>
      </w:pPr>
    </w:p>
    <w:p>
      <w:pPr>
        <w:spacing w:line="276" w:lineRule="auto"/>
        <w:jc w:val="center"/>
        <w:rPr>
          <w:rFonts w:hint="default" w:ascii="Times New Roman" w:hAnsi="Times New Roman" w:eastAsia="Times New Roman" w:cs="Times New Roman"/>
          <w:b/>
          <w:sz w:val="52"/>
          <w:szCs w:val="52"/>
        </w:rPr>
      </w:pPr>
      <w:r>
        <w:rPr>
          <w:rFonts w:hint="default" w:ascii="Times New Roman" w:hAnsi="Times New Roman" w:eastAsia="Times New Roman" w:cs="Times New Roman"/>
          <w:b/>
          <w:sz w:val="52"/>
          <w:szCs w:val="52"/>
        </w:rPr>
        <w:t>Brief</w:t>
      </w:r>
      <w:r>
        <w:rPr>
          <w:rFonts w:hint="default" w:ascii="Times New Roman" w:hAnsi="Times New Roman" w:eastAsia="Times New Roman" w:cs="Times New Roman"/>
          <w:b/>
          <w:sz w:val="52"/>
          <w:szCs w:val="52"/>
          <w:lang w:val="en-US"/>
        </w:rPr>
        <w:t xml:space="preserve"> </w:t>
      </w:r>
      <w:r>
        <w:rPr>
          <w:rFonts w:hint="default" w:ascii="Times New Roman" w:hAnsi="Times New Roman" w:eastAsia="Times New Roman" w:cs="Times New Roman"/>
          <w:b/>
          <w:sz w:val="52"/>
          <w:szCs w:val="52"/>
        </w:rPr>
        <w:t xml:space="preserve"> Description:</w:t>
      </w: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36"/>
          <w:szCs w:val="36"/>
        </w:rPr>
      </w:pPr>
      <w:r>
        <w:rPr>
          <w:rFonts w:hint="default" w:ascii="Times New Roman" w:hAnsi="Times New Roman" w:eastAsia="SimSun" w:cs="Times New Roman"/>
          <w:sz w:val="36"/>
          <w:szCs w:val="36"/>
        </w:rPr>
        <w:t>Adolescence is a transformative period marked by rapid growth, hormonal changes, and increased energy needs. Proper nutrition is crucial for teenage girls to support their physical development, cognitive function, and overall well-being. This guide provides an in-depth look at the essential nutrients required during these critical years, including proteins, carbohydrates, fats, vitamins, and minerals. It addresses common dietary deficiencies, such as iron and calcium, and offers practical advice on maintaining a balanced diet. By promoting healthy eating habits and positive body image, this guide aims to empower teenage girls to make informed food choices that will benefit their health now and in the future.</w:t>
      </w: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52"/>
          <w:szCs w:val="52"/>
        </w:rPr>
      </w:pPr>
    </w:p>
    <w:p>
      <w:pPr>
        <w:spacing w:line="276" w:lineRule="auto"/>
        <w:jc w:val="center"/>
        <w:rPr>
          <w:rFonts w:hint="default" w:ascii="Times New Roman" w:hAnsi="Times New Roman" w:eastAsia="Times New Roman" w:cs="Times New Roman"/>
          <w:b/>
          <w:sz w:val="52"/>
          <w:szCs w:val="52"/>
        </w:rPr>
      </w:pPr>
      <w:r>
        <w:rPr>
          <w:rFonts w:hint="default" w:ascii="Times New Roman" w:hAnsi="Times New Roman" w:eastAsia="Times New Roman" w:cs="Times New Roman"/>
          <w:b/>
          <w:sz w:val="52"/>
          <w:szCs w:val="52"/>
        </w:rPr>
        <w:t>Objective and Scope:</w:t>
      </w: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The objective of this project is to comprehensively analyze and address the unique nutritional needs of teenage girls, providing them with the necessary knowledge and practical tools to maintain a balanced diet that supports their growth and development. This project aims to identify common dietary deficiencies prevalent among teenage girls, understand the health consequences of these deficiencies, and offer targeted dietary recommendations to mitigate them. Additionally, it seeks to promote awareness about the critical role of nutrition during adolescence, encouraging healthy eating habits and a positive relationship with food. The scope of this project encompasses a detailed exploration of essential macronutrients and micronutrients, the creation of balanced meal plans, and the development of educational resources for both teenagers and their caregivers. By engaging with experts, conducting surveys, and analyzing real-life case studies, this project endeavors to provide a holistic approach to improving the nutritional well-being of teenage girls.</w:t>
      </w:r>
    </w:p>
    <w:p>
      <w:pPr>
        <w:spacing w:line="276" w:lineRule="auto"/>
        <w:jc w:val="both"/>
        <w:rPr>
          <w:rFonts w:hint="default" w:ascii="Times New Roman" w:hAnsi="Times New Roman" w:eastAsia="Times New Roman" w:cs="Times New Roman"/>
          <w:b/>
          <w:sz w:val="36"/>
          <w:szCs w:val="36"/>
        </w:rPr>
      </w:pPr>
    </w:p>
    <w:p>
      <w:pPr>
        <w:jc w:val="both"/>
        <w:rPr>
          <w:rFonts w:hint="default" w:ascii="Times New Roman" w:hAnsi="Times New Roman" w:eastAsia="Times New Roman" w:cs="Times New Roman"/>
          <w:b/>
          <w:sz w:val="52"/>
          <w:szCs w:val="52"/>
        </w:rPr>
      </w:pPr>
    </w:p>
    <w:p>
      <w:pPr>
        <w:jc w:val="center"/>
        <w:rPr>
          <w:rFonts w:hint="default" w:ascii="Times New Roman" w:hAnsi="Times New Roman" w:eastAsia="Times New Roman" w:cs="Times New Roman"/>
          <w:b/>
          <w:sz w:val="52"/>
          <w:szCs w:val="52"/>
        </w:rPr>
      </w:pPr>
      <w:r>
        <w:rPr>
          <w:rFonts w:hint="default" w:ascii="Times New Roman" w:hAnsi="Times New Roman" w:eastAsia="Times New Roman" w:cs="Times New Roman"/>
          <w:b/>
          <w:sz w:val="52"/>
          <w:szCs w:val="52"/>
        </w:rPr>
        <w:t>Methodology:</w:t>
      </w:r>
    </w:p>
    <w:p>
      <w:pPr>
        <w:jc w:val="both"/>
        <w:rPr>
          <w:rFonts w:hint="default" w:ascii="Times New Roman" w:hAnsi="Times New Roman" w:eastAsia="Times New Roman" w:cs="Times New Roman"/>
          <w:b/>
          <w:sz w:val="52"/>
          <w:szCs w:val="52"/>
        </w:rPr>
      </w:pPr>
    </w:p>
    <w:p>
      <w:pPr>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The study on the nutritional value for teenage girls employs a comprehensive and multifaceted approach to gather, analyze, and interpret data regarding their dietary habits, nutritional intake, and health outcomes. The methodology is designed to ensure a thorough understanding of the nutritional needs and challenges faced by this demographic, and to develop actionable recommendations for improving their dietary practices.</w:t>
      </w:r>
    </w:p>
    <w:p>
      <w:pPr>
        <w:jc w:val="both"/>
        <w:rPr>
          <w:rFonts w:hint="default" w:ascii="Times New Roman" w:hAnsi="Times New Roman" w:eastAsia="Times New Roman"/>
          <w:b w:val="0"/>
          <w:bCs/>
          <w:sz w:val="36"/>
          <w:szCs w:val="36"/>
        </w:rPr>
      </w:pPr>
    </w:p>
    <w:p>
      <w:pPr>
        <w:jc w:val="both"/>
        <w:rPr>
          <w:rFonts w:hint="default" w:ascii="Times New Roman" w:hAnsi="Times New Roman" w:eastAsia="Times New Roman"/>
          <w:b w:val="0"/>
          <w:bCs/>
          <w:sz w:val="36"/>
          <w:szCs w:val="36"/>
        </w:rPr>
      </w:pPr>
    </w:p>
    <w:p>
      <w:pPr>
        <w:numPr>
          <w:ilvl w:val="0"/>
          <w:numId w:val="1"/>
        </w:numPr>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 xml:space="preserve">Firstly, a detailed literature review will be conducted to gather existing research on adolescent nutrition, focusing specifically on the nutritional needs of teenage girls and the common deficiencies they experience. This will provide a theoretical foundation for the project. </w:t>
      </w:r>
    </w:p>
    <w:p>
      <w:pPr>
        <w:widowControl w:val="0"/>
        <w:numPr>
          <w:numId w:val="0"/>
        </w:numPr>
        <w:jc w:val="both"/>
        <w:rPr>
          <w:rFonts w:hint="default" w:ascii="Times New Roman" w:hAnsi="Times New Roman" w:eastAsia="Times New Roman"/>
          <w:b w:val="0"/>
          <w:bCs/>
          <w:sz w:val="36"/>
          <w:szCs w:val="36"/>
        </w:rPr>
      </w:pPr>
    </w:p>
    <w:p>
      <w:pPr>
        <w:jc w:val="both"/>
        <w:rPr>
          <w:rFonts w:hint="default" w:ascii="Times New Roman" w:hAnsi="Times New Roman" w:eastAsia="Times New Roman"/>
          <w:b w:val="0"/>
          <w:bCs/>
          <w:sz w:val="36"/>
          <w:szCs w:val="36"/>
        </w:rPr>
      </w:pPr>
    </w:p>
    <w:p>
      <w:pPr>
        <w:numPr>
          <w:ilvl w:val="0"/>
          <w:numId w:val="1"/>
        </w:numPr>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 xml:space="preserve">Secondly, surveys and questionnaires will be designed and distributed to a diverse sample of teenage girls to collect data on their dietary habits, nutritional knowledge, and health status. The surveys will be administered both online and in-person to ensure a wide reach and inclusivity. </w:t>
      </w:r>
    </w:p>
    <w:p>
      <w:pPr>
        <w:widowControl w:val="0"/>
        <w:numPr>
          <w:numId w:val="0"/>
        </w:numPr>
        <w:jc w:val="both"/>
        <w:rPr>
          <w:rFonts w:hint="default" w:ascii="Times New Roman" w:hAnsi="Times New Roman" w:eastAsia="Times New Roman"/>
          <w:b w:val="0"/>
          <w:bCs/>
          <w:sz w:val="36"/>
          <w:szCs w:val="36"/>
        </w:rPr>
      </w:pPr>
    </w:p>
    <w:p>
      <w:pPr>
        <w:widowControl w:val="0"/>
        <w:numPr>
          <w:numId w:val="0"/>
        </w:numPr>
        <w:jc w:val="both"/>
        <w:rPr>
          <w:rFonts w:hint="default" w:ascii="Times New Roman" w:hAnsi="Times New Roman" w:eastAsia="Times New Roman"/>
          <w:b w:val="0"/>
          <w:bCs/>
          <w:sz w:val="36"/>
          <w:szCs w:val="36"/>
        </w:rPr>
      </w:pPr>
    </w:p>
    <w:p>
      <w:pPr>
        <w:widowControl w:val="0"/>
        <w:numPr>
          <w:numId w:val="0"/>
        </w:numPr>
        <w:jc w:val="both"/>
        <w:rPr>
          <w:rFonts w:hint="default" w:ascii="Times New Roman" w:hAnsi="Times New Roman" w:eastAsia="Times New Roman"/>
          <w:b w:val="0"/>
          <w:bCs/>
          <w:sz w:val="36"/>
          <w:szCs w:val="36"/>
        </w:rPr>
      </w:pPr>
    </w:p>
    <w:p>
      <w:pPr>
        <w:widowControl w:val="0"/>
        <w:numPr>
          <w:numId w:val="0"/>
        </w:numPr>
        <w:jc w:val="both"/>
        <w:rPr>
          <w:rFonts w:hint="default" w:ascii="Times New Roman" w:hAnsi="Times New Roman" w:eastAsia="Times New Roman"/>
          <w:b w:val="0"/>
          <w:bCs/>
          <w:sz w:val="36"/>
          <w:szCs w:val="36"/>
        </w:rPr>
      </w:pPr>
    </w:p>
    <w:p>
      <w:pPr>
        <w:widowControl w:val="0"/>
        <w:numPr>
          <w:numId w:val="0"/>
        </w:numPr>
        <w:jc w:val="both"/>
        <w:rPr>
          <w:rFonts w:hint="default" w:ascii="Times New Roman" w:hAnsi="Times New Roman" w:eastAsia="Times New Roman"/>
          <w:b w:val="0"/>
          <w:bCs/>
          <w:sz w:val="36"/>
          <w:szCs w:val="36"/>
        </w:rPr>
      </w:pPr>
    </w:p>
    <w:p>
      <w:pPr>
        <w:jc w:val="both"/>
        <w:rPr>
          <w:rFonts w:hint="default" w:ascii="Times New Roman" w:hAnsi="Times New Roman" w:eastAsia="Times New Roman"/>
          <w:b w:val="0"/>
          <w:bCs/>
          <w:sz w:val="36"/>
          <w:szCs w:val="36"/>
        </w:rPr>
      </w:pPr>
    </w:p>
    <w:p>
      <w:pPr>
        <w:numPr>
          <w:ilvl w:val="0"/>
          <w:numId w:val="1"/>
        </w:numPr>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 xml:space="preserve">Thirdly, interviews with nutritionists, dietitians, and healthcare professionals will be conducted to gain expert insights into the nutritional challenges faced by teenage girls and effective strategies to address these issues. </w:t>
      </w:r>
    </w:p>
    <w:p>
      <w:pPr>
        <w:widowControl w:val="0"/>
        <w:numPr>
          <w:numId w:val="0"/>
        </w:numPr>
        <w:jc w:val="both"/>
        <w:rPr>
          <w:rFonts w:hint="default" w:ascii="Times New Roman" w:hAnsi="Times New Roman" w:eastAsia="Times New Roman"/>
          <w:b w:val="0"/>
          <w:bCs/>
          <w:sz w:val="36"/>
          <w:szCs w:val="36"/>
        </w:rPr>
      </w:pPr>
    </w:p>
    <w:p>
      <w:pPr>
        <w:jc w:val="both"/>
        <w:rPr>
          <w:rFonts w:hint="default" w:ascii="Times New Roman" w:hAnsi="Times New Roman" w:eastAsia="Times New Roman"/>
          <w:b w:val="0"/>
          <w:bCs/>
          <w:sz w:val="36"/>
          <w:szCs w:val="36"/>
        </w:rPr>
      </w:pPr>
    </w:p>
    <w:p>
      <w:pPr>
        <w:jc w:val="both"/>
        <w:rPr>
          <w:rFonts w:hint="default" w:ascii="Times New Roman" w:hAnsi="Times New Roman" w:eastAsia="Times New Roman" w:cs="Times New Roman"/>
          <w:b/>
          <w:sz w:val="36"/>
          <w:szCs w:val="36"/>
        </w:rPr>
      </w:pPr>
      <w:r>
        <w:rPr>
          <w:rFonts w:hint="default" w:ascii="Times New Roman" w:hAnsi="Times New Roman" w:eastAsia="Times New Roman"/>
          <w:b w:val="0"/>
          <w:bCs/>
          <w:sz w:val="36"/>
          <w:szCs w:val="36"/>
        </w:rPr>
        <w:t>Additionally, case studies of teenage girls with various dietary patterns will be analyzed to understand the real-life implications of different nutritional practices. Data collected from surveys, interviews, and case studies will be meticulously analyzed using statistical tools to identify trends, patterns, and correlations. The findings will be used to develop practical dietary recommendations and meal plans tailored to the needs of teenage girls. Furthermore, educational workshops and awareness programs will be organized in schools and communities to disseminate the findings and promote healthy eating habits among teenage girls. This methodology aims to provide a holistic understanding of the nutritional value for teenage girls and to create actionable strategies to improve their dietary health.</w:t>
      </w: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52"/>
          <w:szCs w:val="52"/>
        </w:rPr>
      </w:pPr>
    </w:p>
    <w:p>
      <w:pPr>
        <w:spacing w:line="276" w:lineRule="auto"/>
        <w:jc w:val="center"/>
        <w:rPr>
          <w:rFonts w:hint="default" w:ascii="Times New Roman" w:hAnsi="Times New Roman" w:eastAsia="Times New Roman" w:cs="Times New Roman"/>
          <w:b/>
          <w:sz w:val="52"/>
          <w:szCs w:val="52"/>
        </w:rPr>
      </w:pPr>
      <w:r>
        <w:rPr>
          <w:rFonts w:hint="default" w:ascii="Times New Roman" w:hAnsi="Times New Roman" w:eastAsia="Times New Roman" w:cs="Times New Roman"/>
          <w:b/>
          <w:sz w:val="52"/>
          <w:szCs w:val="52"/>
        </w:rPr>
        <w:t>Hardware and Software Requirements:</w:t>
      </w: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b/>
          <w:sz w:val="36"/>
          <w:szCs w:val="36"/>
          <w:lang w:val="en-US"/>
        </w:rPr>
      </w:pPr>
      <w:r>
        <w:rPr>
          <w:rFonts w:hint="default" w:ascii="Times New Roman" w:hAnsi="Times New Roman" w:eastAsia="Times New Roman"/>
          <w:b/>
          <w:sz w:val="36"/>
          <w:szCs w:val="36"/>
        </w:rPr>
        <w:t>Hardware Requirements:</w:t>
      </w:r>
      <w:r>
        <w:rPr>
          <w:rFonts w:hint="default" w:ascii="Times New Roman" w:hAnsi="Times New Roman" w:eastAsia="Times New Roman"/>
          <w:b/>
          <w:sz w:val="36"/>
          <w:szCs w:val="36"/>
          <w:lang w:val="en-US"/>
        </w:rPr>
        <w:t>-</w:t>
      </w:r>
    </w:p>
    <w:p>
      <w:pPr>
        <w:spacing w:line="276" w:lineRule="auto"/>
        <w:jc w:val="both"/>
        <w:rPr>
          <w:rFonts w:hint="default" w:ascii="Times New Roman" w:hAnsi="Times New Roman" w:eastAsia="Times New Roman"/>
          <w:b/>
          <w:sz w:val="36"/>
          <w:szCs w:val="36"/>
        </w:rPr>
      </w:pP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Computers/Laptops</w:t>
      </w: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Tablets/Smartphones</w:t>
      </w: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Internet Access</w:t>
      </w: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Printers and Scanners</w:t>
      </w: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Projector</w:t>
      </w: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Storage Devices</w:t>
      </w: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Measuring Tools</w:t>
      </w:r>
    </w:p>
    <w:p>
      <w:pPr>
        <w:spacing w:line="276" w:lineRule="auto"/>
        <w:jc w:val="both"/>
        <w:rPr>
          <w:rFonts w:hint="default" w:ascii="Times New Roman" w:hAnsi="Times New Roman" w:eastAsia="Times New Roman"/>
          <w:b/>
          <w:sz w:val="36"/>
          <w:szCs w:val="36"/>
        </w:rPr>
      </w:pPr>
    </w:p>
    <w:p>
      <w:pPr>
        <w:spacing w:line="276" w:lineRule="auto"/>
        <w:jc w:val="both"/>
        <w:rPr>
          <w:rFonts w:hint="default" w:ascii="Times New Roman" w:hAnsi="Times New Roman" w:eastAsia="Times New Roman"/>
          <w:b/>
          <w:sz w:val="36"/>
          <w:szCs w:val="36"/>
        </w:rPr>
      </w:pPr>
    </w:p>
    <w:p>
      <w:pPr>
        <w:spacing w:line="276" w:lineRule="auto"/>
        <w:jc w:val="both"/>
        <w:rPr>
          <w:rFonts w:hint="default" w:ascii="Times New Roman" w:hAnsi="Times New Roman" w:eastAsia="Times New Roman"/>
          <w:b/>
          <w:sz w:val="36"/>
          <w:szCs w:val="36"/>
          <w:lang w:val="en-US"/>
        </w:rPr>
      </w:pPr>
      <w:r>
        <w:rPr>
          <w:rFonts w:hint="default" w:ascii="Times New Roman" w:hAnsi="Times New Roman" w:eastAsia="Times New Roman"/>
          <w:b/>
          <w:sz w:val="36"/>
          <w:szCs w:val="36"/>
        </w:rPr>
        <w:t>Software Requirements:</w:t>
      </w:r>
      <w:r>
        <w:rPr>
          <w:rFonts w:hint="default" w:ascii="Times New Roman" w:hAnsi="Times New Roman" w:eastAsia="Times New Roman"/>
          <w:b/>
          <w:sz w:val="36"/>
          <w:szCs w:val="36"/>
          <w:lang w:val="en-US"/>
        </w:rPr>
        <w:t>-</w:t>
      </w:r>
    </w:p>
    <w:p>
      <w:pPr>
        <w:spacing w:line="276" w:lineRule="auto"/>
        <w:jc w:val="both"/>
        <w:rPr>
          <w:rFonts w:hint="default" w:ascii="Times New Roman" w:hAnsi="Times New Roman" w:eastAsia="Times New Roman"/>
          <w:b/>
          <w:sz w:val="36"/>
          <w:szCs w:val="36"/>
        </w:rPr>
      </w:pP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Data Collection and Analysis</w:t>
      </w: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Word Processing</w:t>
      </w: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Graphics and Design</w:t>
      </w: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Communication and Collaboration</w:t>
      </w: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Nutritional Analysis Software</w:t>
      </w:r>
    </w:p>
    <w:p>
      <w:pPr>
        <w:numPr>
          <w:ilvl w:val="0"/>
          <w:numId w:val="2"/>
        </w:numPr>
        <w:spacing w:line="276" w:lineRule="auto"/>
        <w:ind w:left="420" w:leftChars="0" w:hanging="420"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Educational and E-Learning Tools</w:t>
      </w:r>
    </w:p>
    <w:p>
      <w:pPr>
        <w:spacing w:line="276" w:lineRule="auto"/>
        <w:jc w:val="both"/>
        <w:rPr>
          <w:rFonts w:hint="default" w:ascii="Times New Roman" w:hAnsi="Times New Roman" w:eastAsia="Times New Roman" w:cs="Times New Roman"/>
          <w:b/>
          <w:sz w:val="36"/>
          <w:szCs w:val="36"/>
        </w:rPr>
      </w:pPr>
    </w:p>
    <w:p>
      <w:pPr>
        <w:spacing w:line="276" w:lineRule="auto"/>
        <w:jc w:val="center"/>
        <w:rPr>
          <w:rFonts w:hint="default" w:ascii="Times New Roman" w:hAnsi="Times New Roman" w:eastAsia="Times New Roman" w:cs="Times New Roman"/>
          <w:b/>
          <w:sz w:val="52"/>
          <w:szCs w:val="52"/>
        </w:rPr>
      </w:pPr>
      <w:r>
        <w:rPr>
          <w:rFonts w:hint="default" w:ascii="Times New Roman" w:hAnsi="Times New Roman" w:eastAsia="Times New Roman" w:cs="Times New Roman"/>
          <w:b/>
          <w:sz w:val="52"/>
          <w:szCs w:val="52"/>
        </w:rPr>
        <w:t>Technologies:</w:t>
      </w: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Technological advancements offer innovative solutions to promote and ensure proper nutrition among teenage girls. These technologies can provide personalized dietary advice, track nutritional intake, and encourage healthier eating habits.</w:t>
      </w:r>
    </w:p>
    <w:p>
      <w:pPr>
        <w:spacing w:line="276" w:lineRule="auto"/>
        <w:jc w:val="both"/>
        <w:rPr>
          <w:rFonts w:hint="default" w:ascii="Times New Roman" w:hAnsi="Times New Roman" w:eastAsia="Times New Roman"/>
          <w:b w:val="0"/>
          <w:bCs/>
          <w:sz w:val="36"/>
          <w:szCs w:val="36"/>
        </w:rPr>
      </w:pPr>
    </w:p>
    <w:p>
      <w:pPr>
        <w:numPr>
          <w:ilvl w:val="0"/>
          <w:numId w:val="3"/>
        </w:numPr>
        <w:spacing w:line="276" w:lineRule="auto"/>
        <w:ind w:left="425" w:leftChars="0" w:hanging="425" w:firstLineChars="0"/>
        <w:jc w:val="both"/>
        <w:rPr>
          <w:rFonts w:hint="default" w:ascii="Times New Roman" w:hAnsi="Times New Roman" w:eastAsia="Times New Roman"/>
          <w:b w:val="0"/>
          <w:bCs/>
          <w:sz w:val="36"/>
          <w:szCs w:val="36"/>
        </w:rPr>
      </w:pPr>
      <w:r>
        <w:rPr>
          <w:rFonts w:hint="default" w:ascii="Times New Roman" w:hAnsi="Times New Roman" w:eastAsia="Times New Roman"/>
          <w:b/>
          <w:bCs w:val="0"/>
          <w:sz w:val="36"/>
          <w:szCs w:val="36"/>
        </w:rPr>
        <w:t>Mobile Apps:</w:t>
      </w:r>
      <w:r>
        <w:rPr>
          <w:rFonts w:hint="default" w:ascii="Times New Roman" w:hAnsi="Times New Roman" w:eastAsia="Times New Roman"/>
          <w:b w:val="0"/>
          <w:bCs/>
          <w:sz w:val="36"/>
          <w:szCs w:val="36"/>
        </w:rPr>
        <w:t xml:space="preserve"> Nutrition-focused mobile applications like MyFitnessPal, Yazio, and Lifesum allow teenage girls to track their daily food intake, monitor macronutrient and micronutrient consumption, and receive tailored dietary recommendations. These apps often feature barcode scanners for easy logging and databases of thousands of foods for accurate tracking.</w:t>
      </w:r>
    </w:p>
    <w:p>
      <w:pPr>
        <w:spacing w:line="276" w:lineRule="auto"/>
        <w:jc w:val="both"/>
        <w:rPr>
          <w:rFonts w:hint="default" w:ascii="Times New Roman" w:hAnsi="Times New Roman" w:eastAsia="Times New Roman"/>
          <w:b w:val="0"/>
          <w:bCs/>
          <w:sz w:val="36"/>
          <w:szCs w:val="36"/>
        </w:rPr>
      </w:pPr>
    </w:p>
    <w:p>
      <w:pPr>
        <w:numPr>
          <w:ilvl w:val="0"/>
          <w:numId w:val="3"/>
        </w:numPr>
        <w:spacing w:line="276" w:lineRule="auto"/>
        <w:ind w:left="425" w:leftChars="0" w:hanging="425" w:firstLineChars="0"/>
        <w:jc w:val="both"/>
        <w:rPr>
          <w:rFonts w:hint="default" w:ascii="Times New Roman" w:hAnsi="Times New Roman" w:eastAsia="Times New Roman"/>
          <w:b w:val="0"/>
          <w:bCs/>
          <w:sz w:val="36"/>
          <w:szCs w:val="36"/>
        </w:rPr>
      </w:pPr>
      <w:r>
        <w:rPr>
          <w:rFonts w:hint="default" w:ascii="Times New Roman" w:hAnsi="Times New Roman" w:eastAsia="Times New Roman"/>
          <w:b/>
          <w:bCs w:val="0"/>
          <w:sz w:val="36"/>
          <w:szCs w:val="36"/>
        </w:rPr>
        <w:t>Wearable Devices:</w:t>
      </w:r>
      <w:r>
        <w:rPr>
          <w:rFonts w:hint="default" w:ascii="Times New Roman" w:hAnsi="Times New Roman" w:eastAsia="Times New Roman"/>
          <w:b w:val="0"/>
          <w:bCs/>
          <w:sz w:val="36"/>
          <w:szCs w:val="36"/>
        </w:rPr>
        <w:t xml:space="preserve"> Fitness trackers and smartwatches such as Fitbit and Apple Watch now come equipped with features that monitor physical activity and provide insights into calorie expenditure. When paired with nutrition apps, these devices can offer comprehensive health tracking, helping teenagers balance their energy intake with their activity levels.</w:t>
      </w:r>
    </w:p>
    <w:p>
      <w:pPr>
        <w:spacing w:line="276" w:lineRule="auto"/>
        <w:jc w:val="both"/>
        <w:rPr>
          <w:rFonts w:hint="default" w:ascii="Times New Roman" w:hAnsi="Times New Roman" w:eastAsia="Times New Roman"/>
          <w:b w:val="0"/>
          <w:bCs/>
          <w:sz w:val="36"/>
          <w:szCs w:val="36"/>
        </w:rPr>
      </w:pPr>
    </w:p>
    <w:p>
      <w:pPr>
        <w:numPr>
          <w:ilvl w:val="0"/>
          <w:numId w:val="3"/>
        </w:numPr>
        <w:spacing w:line="276" w:lineRule="auto"/>
        <w:ind w:left="425" w:leftChars="0" w:hanging="425" w:firstLineChars="0"/>
        <w:jc w:val="both"/>
        <w:rPr>
          <w:rFonts w:hint="default" w:ascii="Times New Roman" w:hAnsi="Times New Roman" w:eastAsia="Times New Roman"/>
          <w:b w:val="0"/>
          <w:bCs/>
          <w:sz w:val="36"/>
          <w:szCs w:val="36"/>
        </w:rPr>
      </w:pPr>
      <w:r>
        <w:rPr>
          <w:rFonts w:hint="default" w:ascii="Times New Roman" w:hAnsi="Times New Roman" w:eastAsia="Times New Roman"/>
          <w:b/>
          <w:bCs w:val="0"/>
          <w:sz w:val="36"/>
          <w:szCs w:val="36"/>
        </w:rPr>
        <w:t>Online Nutrition Platforms:</w:t>
      </w:r>
      <w:r>
        <w:rPr>
          <w:rFonts w:hint="default" w:ascii="Times New Roman" w:hAnsi="Times New Roman" w:eastAsia="Times New Roman"/>
          <w:b w:val="0"/>
          <w:bCs/>
          <w:sz w:val="36"/>
          <w:szCs w:val="36"/>
        </w:rPr>
        <w:t xml:space="preserve"> Websites and online platforms like Nutrium and Cronometer provide in-depth nutritional analysis and personalized meal planning. These platforms often involve input from registered dietitians who can offer expert advice and customized plans to meet the specific needs of teenage girls.</w:t>
      </w:r>
    </w:p>
    <w:p>
      <w:pPr>
        <w:spacing w:line="276" w:lineRule="auto"/>
        <w:jc w:val="both"/>
        <w:rPr>
          <w:rFonts w:hint="default" w:ascii="Times New Roman" w:hAnsi="Times New Roman" w:eastAsia="Times New Roman"/>
          <w:b w:val="0"/>
          <w:bCs/>
          <w:sz w:val="36"/>
          <w:szCs w:val="36"/>
        </w:rPr>
      </w:pPr>
    </w:p>
    <w:p>
      <w:pPr>
        <w:numPr>
          <w:ilvl w:val="0"/>
          <w:numId w:val="3"/>
        </w:numPr>
        <w:spacing w:line="276" w:lineRule="auto"/>
        <w:ind w:left="425" w:leftChars="0" w:hanging="425" w:firstLineChars="0"/>
        <w:jc w:val="both"/>
        <w:rPr>
          <w:rFonts w:hint="default" w:ascii="Times New Roman" w:hAnsi="Times New Roman" w:eastAsia="Times New Roman"/>
          <w:b w:val="0"/>
          <w:bCs/>
          <w:sz w:val="36"/>
          <w:szCs w:val="36"/>
        </w:rPr>
      </w:pPr>
      <w:r>
        <w:rPr>
          <w:rFonts w:hint="default" w:ascii="Times New Roman" w:hAnsi="Times New Roman" w:eastAsia="Times New Roman"/>
          <w:b/>
          <w:bCs w:val="0"/>
          <w:sz w:val="36"/>
          <w:szCs w:val="36"/>
        </w:rPr>
        <w:t>Smart Kitchen Appliances:</w:t>
      </w:r>
      <w:r>
        <w:rPr>
          <w:rFonts w:hint="default" w:ascii="Times New Roman" w:hAnsi="Times New Roman" w:eastAsia="Times New Roman"/>
          <w:b w:val="0"/>
          <w:bCs/>
          <w:sz w:val="36"/>
          <w:szCs w:val="36"/>
        </w:rPr>
        <w:t xml:space="preserve"> Modern kitchen gadgets like smart blenders and connected ovens can suggest healthy recipes and cooking methods. Devices like the Tovala Smart Oven can prepare meals with minimal effort, making it easier for teenagers to choose nutritious options.</w:t>
      </w:r>
    </w:p>
    <w:p>
      <w:pPr>
        <w:spacing w:line="276" w:lineRule="auto"/>
        <w:jc w:val="both"/>
        <w:rPr>
          <w:rFonts w:hint="default" w:ascii="Times New Roman" w:hAnsi="Times New Roman" w:eastAsia="Times New Roman"/>
          <w:b w:val="0"/>
          <w:bCs/>
          <w:sz w:val="36"/>
          <w:szCs w:val="36"/>
        </w:rPr>
      </w:pPr>
    </w:p>
    <w:p>
      <w:pPr>
        <w:numPr>
          <w:ilvl w:val="0"/>
          <w:numId w:val="3"/>
        </w:numPr>
        <w:spacing w:line="276" w:lineRule="auto"/>
        <w:ind w:left="425" w:leftChars="0" w:hanging="425" w:firstLineChars="0"/>
        <w:jc w:val="both"/>
        <w:rPr>
          <w:rFonts w:hint="default" w:ascii="Times New Roman" w:hAnsi="Times New Roman" w:eastAsia="Times New Roman" w:cs="Times New Roman"/>
          <w:b w:val="0"/>
          <w:bCs/>
          <w:sz w:val="36"/>
          <w:szCs w:val="36"/>
        </w:rPr>
      </w:pPr>
      <w:r>
        <w:rPr>
          <w:rFonts w:hint="default" w:ascii="Times New Roman" w:hAnsi="Times New Roman" w:eastAsia="Times New Roman"/>
          <w:b/>
          <w:bCs w:val="0"/>
          <w:sz w:val="36"/>
          <w:szCs w:val="36"/>
        </w:rPr>
        <w:t>Educational Tools:</w:t>
      </w:r>
      <w:r>
        <w:rPr>
          <w:rFonts w:hint="default" w:ascii="Times New Roman" w:hAnsi="Times New Roman" w:eastAsia="Times New Roman"/>
          <w:b w:val="0"/>
          <w:bCs/>
          <w:sz w:val="36"/>
          <w:szCs w:val="36"/>
        </w:rPr>
        <w:t xml:space="preserve"> Interactive e-learning platforms and virtual reality (VR) experiences can educate teenage girls about nutrition in an engaging manner. Programs like Edmodo and Nearpod offer modules on healthy eating habits, the importance of various nutrients, and how to make informed food choices.</w:t>
      </w:r>
    </w:p>
    <w:p>
      <w:pPr>
        <w:spacing w:line="276" w:lineRule="auto"/>
        <w:jc w:val="both"/>
        <w:rPr>
          <w:rFonts w:hint="default" w:ascii="Times New Roman" w:hAnsi="Times New Roman" w:eastAsia="Times New Roman" w:cs="Times New Roman"/>
          <w:b w:val="0"/>
          <w:bCs/>
          <w:sz w:val="52"/>
          <w:szCs w:val="52"/>
        </w:rPr>
      </w:pP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sz w:val="52"/>
          <w:szCs w:val="52"/>
        </w:rPr>
      </w:pPr>
    </w:p>
    <w:p>
      <w:pPr>
        <w:spacing w:line="276" w:lineRule="auto"/>
        <w:jc w:val="center"/>
        <w:rPr>
          <w:rFonts w:hint="default" w:ascii="Times New Roman" w:hAnsi="Times New Roman" w:eastAsia="Times New Roman" w:cs="Times New Roman"/>
          <w:b/>
          <w:sz w:val="52"/>
          <w:szCs w:val="52"/>
        </w:rPr>
      </w:pPr>
      <w:r>
        <w:rPr>
          <w:rFonts w:hint="default" w:ascii="Times New Roman" w:hAnsi="Times New Roman" w:eastAsia="Times New Roman" w:cs="Times New Roman"/>
          <w:b/>
          <w:sz w:val="52"/>
          <w:szCs w:val="52"/>
        </w:rPr>
        <w:t>Testing Techniques:</w:t>
      </w:r>
    </w:p>
    <w:p>
      <w:pPr>
        <w:spacing w:line="276" w:lineRule="auto"/>
        <w:jc w:val="both"/>
        <w:rPr>
          <w:rFonts w:hint="default" w:ascii="Times New Roman" w:hAnsi="Times New Roman" w:eastAsia="Times New Roman"/>
          <w:b w:val="0"/>
          <w:bCs/>
          <w:sz w:val="36"/>
          <w:szCs w:val="36"/>
        </w:rPr>
      </w:pPr>
    </w:p>
    <w:p>
      <w:pPr>
        <w:spacing w:line="276" w:lineRule="auto"/>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Testing nutritional value for teenage girls involves several key techniques:</w:t>
      </w:r>
    </w:p>
    <w:p>
      <w:pPr>
        <w:spacing w:line="276" w:lineRule="auto"/>
        <w:jc w:val="both"/>
        <w:rPr>
          <w:rFonts w:hint="default" w:ascii="Times New Roman" w:hAnsi="Times New Roman" w:eastAsia="Times New Roman"/>
          <w:b w:val="0"/>
          <w:bCs/>
          <w:sz w:val="36"/>
          <w:szCs w:val="36"/>
        </w:rPr>
      </w:pPr>
    </w:p>
    <w:p>
      <w:pPr>
        <w:numPr>
          <w:ilvl w:val="0"/>
          <w:numId w:val="4"/>
        </w:numPr>
        <w:spacing w:line="276" w:lineRule="auto"/>
        <w:ind w:left="425" w:leftChars="0" w:hanging="425"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Dietary Assessments: Use food diaries or 24-hour recall interviews to evaluate daily nutrient intake.</w:t>
      </w:r>
    </w:p>
    <w:p>
      <w:pPr>
        <w:spacing w:line="276" w:lineRule="auto"/>
        <w:jc w:val="both"/>
        <w:rPr>
          <w:rFonts w:hint="default" w:ascii="Times New Roman" w:hAnsi="Times New Roman" w:eastAsia="Times New Roman"/>
          <w:b w:val="0"/>
          <w:bCs/>
          <w:sz w:val="36"/>
          <w:szCs w:val="36"/>
        </w:rPr>
      </w:pPr>
    </w:p>
    <w:p>
      <w:pPr>
        <w:numPr>
          <w:ilvl w:val="0"/>
          <w:numId w:val="4"/>
        </w:numPr>
        <w:spacing w:line="276" w:lineRule="auto"/>
        <w:ind w:left="425" w:leftChars="0" w:hanging="425"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Nutrient Analysis: Employ software tools to analyze nutrient content from dietary data.</w:t>
      </w:r>
    </w:p>
    <w:p>
      <w:pPr>
        <w:spacing w:line="276" w:lineRule="auto"/>
        <w:jc w:val="both"/>
        <w:rPr>
          <w:rFonts w:hint="default" w:ascii="Times New Roman" w:hAnsi="Times New Roman" w:eastAsia="Times New Roman"/>
          <w:b w:val="0"/>
          <w:bCs/>
          <w:sz w:val="36"/>
          <w:szCs w:val="36"/>
        </w:rPr>
      </w:pPr>
    </w:p>
    <w:p>
      <w:pPr>
        <w:numPr>
          <w:ilvl w:val="0"/>
          <w:numId w:val="4"/>
        </w:numPr>
        <w:spacing w:line="276" w:lineRule="auto"/>
        <w:ind w:left="425" w:leftChars="0" w:hanging="425"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Biochemical Testing: Conduct blood tests to measure levels of essential nutrients like iron, calcium, and vitamin D.</w:t>
      </w:r>
    </w:p>
    <w:p>
      <w:pPr>
        <w:spacing w:line="276" w:lineRule="auto"/>
        <w:jc w:val="both"/>
        <w:rPr>
          <w:rFonts w:hint="default" w:ascii="Times New Roman" w:hAnsi="Times New Roman" w:eastAsia="Times New Roman"/>
          <w:b w:val="0"/>
          <w:bCs/>
          <w:sz w:val="36"/>
          <w:szCs w:val="36"/>
        </w:rPr>
      </w:pPr>
    </w:p>
    <w:p>
      <w:pPr>
        <w:numPr>
          <w:ilvl w:val="0"/>
          <w:numId w:val="4"/>
        </w:numPr>
        <w:spacing w:line="276" w:lineRule="auto"/>
        <w:ind w:left="425" w:leftChars="0" w:hanging="425" w:firstLineChars="0"/>
        <w:jc w:val="both"/>
        <w:rPr>
          <w:rFonts w:hint="default" w:ascii="Times New Roman" w:hAnsi="Times New Roman" w:eastAsia="Times New Roman"/>
          <w:b w:val="0"/>
          <w:bCs/>
          <w:sz w:val="36"/>
          <w:szCs w:val="36"/>
        </w:rPr>
      </w:pPr>
      <w:r>
        <w:rPr>
          <w:rFonts w:hint="default" w:ascii="Times New Roman" w:hAnsi="Times New Roman" w:eastAsia="Times New Roman"/>
          <w:b w:val="0"/>
          <w:bCs/>
          <w:sz w:val="36"/>
          <w:szCs w:val="36"/>
        </w:rPr>
        <w:t>Physical Assessments: Monitor growth parameters, such as height, weight, and BMI.</w:t>
      </w:r>
    </w:p>
    <w:p>
      <w:pPr>
        <w:spacing w:line="276" w:lineRule="auto"/>
        <w:jc w:val="both"/>
        <w:rPr>
          <w:rFonts w:hint="default" w:ascii="Times New Roman" w:hAnsi="Times New Roman" w:eastAsia="Times New Roman"/>
          <w:b w:val="0"/>
          <w:bCs/>
          <w:sz w:val="36"/>
          <w:szCs w:val="36"/>
        </w:rPr>
      </w:pPr>
    </w:p>
    <w:p>
      <w:pPr>
        <w:numPr>
          <w:ilvl w:val="0"/>
          <w:numId w:val="4"/>
        </w:numPr>
        <w:spacing w:line="276" w:lineRule="auto"/>
        <w:ind w:left="425" w:leftChars="0" w:hanging="425" w:firstLineChars="0"/>
        <w:jc w:val="both"/>
        <w:rPr>
          <w:rFonts w:hint="default" w:ascii="Times New Roman" w:hAnsi="Times New Roman" w:eastAsia="Times New Roman" w:cs="Times New Roman"/>
          <w:b w:val="0"/>
          <w:bCs/>
          <w:sz w:val="36"/>
          <w:szCs w:val="36"/>
        </w:rPr>
      </w:pPr>
      <w:r>
        <w:rPr>
          <w:rFonts w:hint="default" w:ascii="Times New Roman" w:hAnsi="Times New Roman" w:eastAsia="Times New Roman"/>
          <w:b w:val="0"/>
          <w:bCs/>
          <w:sz w:val="36"/>
          <w:szCs w:val="36"/>
        </w:rPr>
        <w:t>Dietary Surveys: Implement questionnaires to identify common dietary patterns and deficiencies.</w:t>
      </w:r>
    </w:p>
    <w:p>
      <w:pPr>
        <w:numPr>
          <w:numId w:val="0"/>
        </w:numPr>
        <w:spacing w:line="276" w:lineRule="auto"/>
        <w:ind w:leftChars="0"/>
        <w:jc w:val="both"/>
        <w:rPr>
          <w:rFonts w:hint="default" w:ascii="Times New Roman" w:hAnsi="Times New Roman" w:eastAsia="Times New Roman" w:cs="Times New Roman"/>
          <w:b w:val="0"/>
          <w:bCs/>
          <w:sz w:val="36"/>
          <w:szCs w:val="36"/>
        </w:rPr>
      </w:pPr>
    </w:p>
    <w:p>
      <w:pPr>
        <w:numPr>
          <w:ilvl w:val="0"/>
          <w:numId w:val="4"/>
        </w:numPr>
        <w:spacing w:line="276" w:lineRule="auto"/>
        <w:ind w:left="425" w:leftChars="0" w:hanging="425" w:firstLineChars="0"/>
        <w:jc w:val="both"/>
        <w:rPr>
          <w:rFonts w:hint="default" w:ascii="Times New Roman" w:hAnsi="Times New Roman" w:eastAsia="Times New Roman" w:cs="Times New Roman"/>
          <w:b w:val="0"/>
          <w:bCs/>
          <w:sz w:val="36"/>
          <w:szCs w:val="36"/>
        </w:rPr>
      </w:pPr>
      <w:r>
        <w:rPr>
          <w:rFonts w:hint="default" w:ascii="Times New Roman" w:hAnsi="Times New Roman" w:eastAsia="Times New Roman"/>
          <w:b w:val="0"/>
          <w:bCs/>
          <w:sz w:val="36"/>
          <w:szCs w:val="36"/>
        </w:rPr>
        <w:t>Focus Groups: Gather qualitative data on eating habits and nutritional knowledge through discussions with teenage girls.</w:t>
      </w:r>
    </w:p>
    <w:p>
      <w:pPr>
        <w:spacing w:line="276" w:lineRule="auto"/>
        <w:jc w:val="both"/>
        <w:rPr>
          <w:rFonts w:hint="default" w:ascii="Times New Roman" w:hAnsi="Times New Roman" w:eastAsia="Times New Roman" w:cs="Times New Roman"/>
          <w:b/>
          <w:sz w:val="52"/>
          <w:szCs w:val="52"/>
        </w:rPr>
      </w:pPr>
    </w:p>
    <w:p>
      <w:pPr>
        <w:spacing w:line="276" w:lineRule="auto"/>
        <w:jc w:val="center"/>
        <w:rPr>
          <w:rFonts w:hint="default" w:ascii="Times New Roman" w:hAnsi="Times New Roman" w:eastAsia="Times New Roman" w:cs="Times New Roman"/>
          <w:b/>
          <w:sz w:val="52"/>
          <w:szCs w:val="52"/>
        </w:rPr>
      </w:pPr>
      <w:r>
        <w:rPr>
          <w:rFonts w:hint="default" w:ascii="Times New Roman" w:hAnsi="Times New Roman" w:eastAsia="Times New Roman" w:cs="Times New Roman"/>
          <w:b/>
          <w:sz w:val="52"/>
          <w:szCs w:val="52"/>
        </w:rPr>
        <w:t>Project Contribution:</w:t>
      </w:r>
    </w:p>
    <w:p>
      <w:pPr>
        <w:spacing w:line="276" w:lineRule="auto"/>
        <w:jc w:val="both"/>
        <w:rPr>
          <w:rFonts w:hint="default" w:ascii="Times New Roman" w:hAnsi="Times New Roman" w:eastAsia="Times New Roman" w:cs="Times New Roman"/>
          <w:b/>
          <w:sz w:val="52"/>
          <w:szCs w:val="52"/>
        </w:rPr>
      </w:pPr>
    </w:p>
    <w:p>
      <w:pPr>
        <w:spacing w:line="276" w:lineRule="auto"/>
        <w:jc w:val="both"/>
        <w:rPr>
          <w:rFonts w:hint="default" w:ascii="Times New Roman" w:hAnsi="Times New Roman" w:eastAsia="Times New Roman" w:cs="Times New Roman"/>
          <w:b w:val="0"/>
          <w:bCs/>
          <w:sz w:val="36"/>
          <w:szCs w:val="36"/>
        </w:rPr>
      </w:pPr>
      <w:r>
        <w:rPr>
          <w:rFonts w:hint="default" w:ascii="Times New Roman" w:hAnsi="Times New Roman" w:eastAsia="Times New Roman"/>
          <w:b w:val="0"/>
          <w:bCs/>
          <w:sz w:val="36"/>
          <w:szCs w:val="36"/>
        </w:rPr>
        <w:t>This project contributes to understanding the nutritional needs of teenage girls by identifying essential nutrients and addressing common deficiencies such as iron and calcium. It offers practical dietary guidelines and balanced meal plans to support optimal growth and health. By promoting awareness of healthy eating habits and the importance of nutrition, the project aims to improve the overall well-being of teenage girls. Additionally, it provides strategies for parents, schools, and communities to foster a supportive environment, ensuring that teenage girls receive the necessary nutrients for physical development, cognitive function, and long-term health.</w:t>
      </w:r>
    </w:p>
    <w:p>
      <w:pPr>
        <w:spacing w:line="276" w:lineRule="auto"/>
        <w:jc w:val="both"/>
        <w:rPr>
          <w:rFonts w:ascii="Times New Roman" w:hAnsi="Times New Roman" w:eastAsia="Times New Roman" w:cs="Times New Roman"/>
          <w:b/>
          <w:sz w:val="32"/>
          <w:szCs w:val="32"/>
        </w:rPr>
      </w:pPr>
    </w:p>
    <w:sectPr>
      <w:footerReference r:id="rId3" w:type="default"/>
      <w:pgSz w:w="12240" w:h="15840"/>
      <w:pgMar w:top="1440" w:right="1440" w:bottom="1134" w:left="1440" w:header="72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itka Display">
    <w:panose1 w:val="00000000000000000000"/>
    <w:charset w:val="00"/>
    <w:family w:val="auto"/>
    <w:pitch w:val="default"/>
    <w:sig w:usb0="A00002EF" w:usb1="4000204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850"/>
      </w:tabs>
      <w:rPr>
        <w:rFonts w:ascii="Times New Roman" w:hAnsi="Times New Roman" w:eastAsia="Times New Roman" w:cs="Times New Roman"/>
        <w:b/>
        <w:sz w:val="34"/>
        <w:szCs w:val="34"/>
      </w:rPr>
    </w:pPr>
    <w:r>
      <w:rPr>
        <w:rFonts w:ascii="Times New Roman" w:hAnsi="Times New Roman" w:eastAsia="Times New Roman" w:cs="Times New Roman"/>
        <w:b/>
        <w:sz w:val="34"/>
        <w:szCs w:val="34"/>
      </w:rPr>
      <w:tab/>
    </w:r>
  </w:p>
  <w:p>
    <w:pPr>
      <w:jc w:val="center"/>
      <w:rPr>
        <w:rFonts w:ascii="Times New Roman" w:hAnsi="Times New Roman" w:eastAsia="Times New Roman" w:cs="Times New Roman"/>
        <w:b/>
        <w:sz w:val="34"/>
        <w:szCs w:val="34"/>
      </w:rPr>
    </w:pPr>
  </w:p>
  <w:p>
    <w:pPr>
      <w:jc w:val="center"/>
      <w:rPr>
        <w:rFonts w:ascii="Times New Roman" w:hAnsi="Times New Roman" w:eastAsia="Times New Roman" w:cs="Times New Roman"/>
        <w:b/>
        <w:sz w:val="34"/>
        <w:szCs w:val="34"/>
      </w:rPr>
    </w:pPr>
    <w:r>
      <mc:AlternateContent>
        <mc:Choice Requires="wps">
          <w:drawing>
            <wp:anchor distT="0" distB="0" distL="114300" distR="114300" simplePos="0" relativeHeight="251659264" behindDoc="0" locked="0" layoutInCell="1" allowOverlap="1">
              <wp:simplePos x="0" y="0"/>
              <wp:positionH relativeFrom="column">
                <wp:posOffset>-367665</wp:posOffset>
              </wp:positionH>
              <wp:positionV relativeFrom="paragraph">
                <wp:posOffset>177800</wp:posOffset>
              </wp:positionV>
              <wp:extent cx="6975475" cy="25400"/>
              <wp:effectExtent l="0" t="0" r="0" b="0"/>
              <wp:wrapNone/>
              <wp:docPr id="1" name="Freeform: Shape 1"/>
              <wp:cNvGraphicFramePr/>
              <a:graphic xmlns:a="http://schemas.openxmlformats.org/drawingml/2006/main">
                <a:graphicData uri="http://schemas.microsoft.com/office/word/2010/wordprocessingShape">
                  <wps:wsp>
                    <wps:cNvSpPr/>
                    <wps:spPr>
                      <a:xfrm>
                        <a:off x="1864613" y="3779683"/>
                        <a:ext cx="6962775" cy="635"/>
                      </a:xfrm>
                      <a:custGeom>
                        <a:avLst/>
                        <a:gdLst/>
                        <a:ahLst/>
                        <a:cxnLst/>
                        <a:rect l="l" t="t" r="r" b="b"/>
                        <a:pathLst>
                          <a:path w="6962775" h="635" extrusionOk="0">
                            <a:moveTo>
                              <a:pt x="0" y="0"/>
                            </a:moveTo>
                            <a:lnTo>
                              <a:pt x="69627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margin-left:-28.95pt;margin-top:14pt;height:2pt;width:549.25pt;z-index:251659264;v-text-anchor:middle;mso-width-relative:page;mso-height-relative:page;" fillcolor="#FFFFFF" filled="t" stroked="t" coordsize="6962775,635" o:gfxdata="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trHqN2wAA&#10;AAoBAAAPAAAAAAAAAAEAIAAAACIAAABkcnMvZG93bnJldi54bWxQSwECFAAUAAAACACHTuJAG3G5&#10;XI0CAACBBQAADgAAAAAAAAABACAAAAAqAQAAZHJzL2Uyb0RvYy54bWxQSwUGAAAAAAYABgBZAQAA&#10;KQYAAAAA&#10;" path="m0,0l6962775,635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Geetanjali Institute of Technical Studies, Dabok , Udaipur (Raj.)</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Department of Computer Science and Engineering</w:t>
    </w:r>
  </w:p>
  <w:p>
    <w:pPr>
      <w:jc w:val="center"/>
    </w:pP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October,2023</w:t>
    </w:r>
  </w:p>
  <w:p>
    <w:pPr>
      <w:spacing w:line="276" w:lineRule="auto"/>
      <w:jc w:val="both"/>
      <w:rPr>
        <w:rFonts w:ascii="Times New Roman" w:hAnsi="Times New Roman" w:eastAsia="Times New Roman" w:cs="Times New Roman"/>
        <w:b/>
        <w:sz w:val="32"/>
        <w:szCs w:val="32"/>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D01E3"/>
    <w:multiLevelType w:val="singleLevel"/>
    <w:tmpl w:val="A43D01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4A38C26"/>
    <w:multiLevelType w:val="singleLevel"/>
    <w:tmpl w:val="04A38C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D2A6A09"/>
    <w:multiLevelType w:val="singleLevel"/>
    <w:tmpl w:val="2D2A6A09"/>
    <w:lvl w:ilvl="0" w:tentative="0">
      <w:start w:val="1"/>
      <w:numFmt w:val="decimal"/>
      <w:lvlText w:val="%1)"/>
      <w:lvlJc w:val="left"/>
      <w:pPr>
        <w:tabs>
          <w:tab w:val="left" w:pos="425"/>
        </w:tabs>
        <w:ind w:left="425" w:leftChars="0" w:hanging="425" w:firstLineChars="0"/>
      </w:pPr>
      <w:rPr>
        <w:rFonts w:hint="default"/>
      </w:rPr>
    </w:lvl>
  </w:abstractNum>
  <w:abstractNum w:abstractNumId="3">
    <w:nsid w:val="7A08A9D6"/>
    <w:multiLevelType w:val="singleLevel"/>
    <w:tmpl w:val="7A08A9D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2A"/>
    <w:rsid w:val="001413B7"/>
    <w:rsid w:val="00310AC2"/>
    <w:rsid w:val="003C7507"/>
    <w:rsid w:val="00E5362A"/>
    <w:rsid w:val="00E6000A"/>
    <w:rsid w:val="2D900F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GB"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399</Characters>
  <Lines>3</Lines>
  <Paragraphs>1</Paragraphs>
  <TotalTime>429</TotalTime>
  <ScaleCrop>false</ScaleCrop>
  <LinksUpToDate>false</LinksUpToDate>
  <CharactersWithSpaces>468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2024-07-04T05:21:00Z</dcterms:created>
  <dc:creator>Asus</dc:creator>
  <cp:lastModifiedBy>Giaa</cp:lastModifiedBy>
  <dcterms:modified xsi:type="dcterms:W3CDTF">2024-07-20T16:13:35Z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7CDB3867D89940C6A2339D850FA0ACB6_12</vt:lpwstr>
  </property>
</Properties>
</file>