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Executive Summary</w:t>
      </w:r>
    </w:p>
    <w:p>
      <w:pPr>
        <w:jc w:val="center"/>
      </w:pPr>
      <w:r>
        <w:rPr>
          <w:i/>
          <w:sz w:val="20"/>
        </w:rPr>
        <w:t>Customer Churn Analytics in European Banking</w:t>
      </w:r>
    </w:p>
    <w:p>
      <w:r>
        <w:t>Prepared from the supplied European_Bank.csv dataset | October 2026</w:t>
      </w:r>
    </w:p>
    <w:p>
      <w:pPr>
        <w:pStyle w:val="Heading1"/>
      </w:pPr>
      <w:r>
        <w:t>Purpose</w:t>
      </w:r>
    </w:p>
    <w:p>
      <w:r>
        <w:t>Provide a concise, evidence-led summary of churn patterns in the supplied banking customer dataset. This is descriptive analysis and should guide investigation rather than automated decisions.</w:t>
      </w:r>
    </w:p>
    <w:p>
      <w:pPr>
        <w:pStyle w:val="Heading1"/>
      </w:pPr>
      <w:r>
        <w:t>Headline metrics</w:t>
      </w:r>
    </w:p>
    <w:p>
      <w:pPr>
        <w:pStyle w:val="ListBullet"/>
      </w:pPr>
      <w:r>
        <w:t>Dataset size: 10,000 records and 14 columns.</w:t>
      </w:r>
    </w:p>
    <w:p>
      <w:pPr>
        <w:pStyle w:val="ListBullet"/>
      </w:pPr>
      <w:r>
        <w:t>Observed churn: 20.37% (2,037 records).</w:t>
      </w:r>
    </w:p>
    <w:p>
      <w:pPr>
        <w:pStyle w:val="ListBullet"/>
      </w:pPr>
      <w:r>
        <w:t>Germany churn rate: 32.44%; France: 16.15%; Spain: 16.67%.</w:t>
      </w:r>
    </w:p>
    <w:p>
      <w:pPr>
        <w:pStyle w:val="ListBullet"/>
      </w:pPr>
      <w:r>
        <w:t>Age 46–60 churn rate: 51.12%, highest among the defined age bands.</w:t>
      </w:r>
    </w:p>
    <w:p>
      <w:pPr>
        <w:pStyle w:val="ListBullet"/>
      </w:pPr>
      <w:r>
        <w:t>Inactive member churn: 26.85% versus 14.27% for active members.</w:t>
      </w:r>
    </w:p>
    <w:p>
      <w:pPr>
        <w:pStyle w:val="Heading1"/>
      </w:pPr>
      <w:r>
        <w:t>What it suggests</w:t>
      </w:r>
    </w:p>
    <w:p>
      <w:r>
        <w:t>Geographic, age, activity and product-count segments merit closer review. The 3- and 4-product cohorts are small, so their high rates should be treated as signals for validation rather than stable population estimates. Average balance is not equivalent to profitability.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Investigate Germany-specific customer journeys and product/service issues.</w:t>
      </w:r>
    </w:p>
    <w:p>
      <w:pPr>
        <w:pStyle w:val="ListBullet"/>
      </w:pPr>
      <w:r>
        <w:t>Pilot engagement interventions for inactive customers and measure incremental impact.</w:t>
      </w:r>
    </w:p>
    <w:p>
      <w:pPr>
        <w:pStyle w:val="ListBullet"/>
      </w:pPr>
      <w:r>
        <w:t>Review customer needs for ages 46–60 without using age as a sole decision rule.</w:t>
      </w:r>
    </w:p>
    <w:p>
      <w:pPr>
        <w:pStyle w:val="ListBullet"/>
      </w:pPr>
      <w:r>
        <w:t>Validate unusual product-count cohorts and data provenance.</w:t>
      </w:r>
    </w:p>
    <w:p>
      <w:pPr>
        <w:pStyle w:val="ListBullet"/>
      </w:pPr>
      <w:r>
        <w:t>Create a governed monitoring dashboard with trend tracking, segment sizes and fairness checks.</w:t>
      </w:r>
    </w:p>
    <w:p>
      <w:pPr>
        <w:pStyle w:val="Heading1"/>
      </w:pPr>
      <w:r>
        <w:t>Caveat</w:t>
      </w:r>
    </w:p>
    <w:p>
      <w:r>
        <w:t>The supplied data source and representativeness are unverified. Results do not establish causation and should not be generalized to all European banks without further evidence.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