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REPORTING PROCESS</w:t>
      </w:r>
    </w:p>
    <w:p>
      <w:pPr>
        <w:spacing w:after="60"/>
      </w:pPr>
      <w:r>
        <w:rPr>
          <w:rFonts w:ascii="Aptos" w:cs="Aptos" w:eastAsia="Aptos" w:hAnsi="Aptos"/>
          <w:color w:val="000000"/>
          <w:sz w:val="21"/>
          <w:szCs w:val="21"/>
        </w:rPr>
        <w:t xml:space="preserve">How the Program's work is tracked and reported from October 2026</w:t>
      </w:r>
    </w:p>
    <w:p>
      <w:pPr>
        <w:spacing w:after="200"/>
      </w:pPr>
      <w:r>
        <w:rPr>
          <w:rFonts w:ascii="Aptos" w:cs="Aptos" w:eastAsia="Aptos" w:hAnsi="Aptos"/>
          <w:color w:val="000000"/>
          <w:sz w:val="21"/>
          <w:szCs w:val="21"/>
        </w:rPr>
        <w:t xml:space="preserve">One DSD People, Access and Culture Program ·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TO</w:t>
      </w:r>
      <w:r>
        <w:rPr>
          <w:rFonts w:ascii="Aptos" w:cs="Aptos" w:eastAsia="Aptos" w:hAnsi="Aptos"/>
          <w:color w:val="000000"/>
          <w:sz w:val="22"/>
          <w:szCs w:val="22"/>
        </w:rPr>
        <w:t xml:space="preserve">	Leigh Ann Ahmad, Manager, Disability Services Division</w:t>
      </w:r>
    </w:p>
    <w:p>
      <w:pPr>
        <w:tabs>
          <w:tab w:val="left" w:pos="1900"/>
        </w:tabs>
        <w:spacing w:after="70"/>
      </w:pPr>
      <w:r>
        <w:rPr>
          <w:rFonts w:ascii="Aptos" w:cs="Aptos" w:eastAsia="Aptos" w:hAnsi="Aptos"/>
          <w:b/>
          <w:bCs/>
          <w:color w:val="003865"/>
          <w:sz w:val="21"/>
          <w:szCs w:val="21"/>
        </w:rPr>
        <w:t xml:space="preserve">CC</w:t>
      </w:r>
      <w:r>
        <w:rPr>
          <w:rFonts w:ascii="Aptos" w:cs="Aptos" w:eastAsia="Aptos" w:hAnsi="Aptos"/>
          <w:color w:val="000000"/>
          <w:sz w:val="22"/>
          <w:szCs w:val="22"/>
        </w:rPr>
        <w:t xml:space="preserve">	Heidi Hamilton, Division Director, Disability Services Division</w:t>
      </w:r>
    </w:p>
    <w:p>
      <w:pPr>
        <w:tabs>
          <w:tab w:val="left" w:pos="1900"/>
        </w:tabs>
        <w:spacing w:after="70"/>
      </w:pPr>
      <w:r>
        <w:rPr>
          <w:rFonts w:ascii="Aptos" w:cs="Aptos" w:eastAsia="Aptos" w:hAnsi="Aptos"/>
          <w:b/>
          <w:bCs/>
          <w:color w:val="003865"/>
          <w:sz w:val="21"/>
          <w:szCs w:val="21"/>
        </w:rPr>
        <w:t xml:space="preserve">FROM</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spacing w:after="160" w:line="288"/>
      </w:pPr>
      <w:r>
        <w:rPr>
          <w:rFonts w:ascii="Aptos" w:cs="Aptos" w:eastAsia="Aptos" w:hAnsi="Aptos"/>
          <w:color w:val="000000"/>
          <w:sz w:val="22"/>
          <w:szCs w:val="22"/>
        </w:rPr>
        <w:t xml:space="preserve">The memorandum on how the Program came to be was reconstructed from notes. This document establishes how the work is tracked and reported from here forward, so that neither of us has to reconstruct it again: one set of work units, one set of status values, a fixed cadence of artifacts, the measures that matter, a decision log with owners and dates, and a defined path for escalation.</w:t>
      </w:r>
    </w:p>
    <w:p>
      <w:pPr>
        <w:spacing w:after="160" w:line="288"/>
      </w:pPr>
      <w:r>
        <w:rPr>
          <w:rFonts w:ascii="Aptos" w:cs="Aptos" w:eastAsia="Aptos" w:hAnsi="Aptos"/>
          <w:color w:val="000000"/>
          <w:sz w:val="22"/>
          <w:szCs w:val="22"/>
        </w:rPr>
        <w:t xml:space="preserve">It is built on the Program as it stands, on the DSD DEIA Integration Framework's gate checks and quarterly learning reviews, on the Division operational plan's quarterly correction cycle, and on the Administration's expectation that each division's equity function plans, tracks and reports. It also answers a finding from the Division's own assessment: eleven of twenty-three sessions described feedback loops that do not close.</w:t>
      </w:r>
    </w:p>
    <w:p>
      <w:pPr>
        <w:spacing w:after="160" w:line="288"/>
      </w:pPr>
      <w:r>
        <w:rPr>
          <w:rFonts w:ascii="Aptos" w:cs="Aptos" w:eastAsia="Aptos" w:hAnsi="Aptos"/>
          <w:color w:val="000000"/>
          <w:sz w:val="22"/>
          <w:szCs w:val="22"/>
        </w:rPr>
        <w:t xml:space="preserve">It serves three audiences in a single chain: you, for progress, barriers and support; Heidi Hamilton as Director, where a decision or exception is hers; and the Administration's Equity Committee, through the DEIA Council chair once that body is seated.</w:t>
      </w:r>
    </w:p>
    <w:p>
      <w:pPr>
        <w:pStyle w:val="Heading1"/>
        <w:pBdr>
          <w:bottom w:val="single" w:color="003865" w:sz="6" w:space="6"/>
        </w:pBdr>
        <w:spacing w:after="180" w:before="400"/>
      </w:pPr>
      <w:r>
        <w:rPr>
          <w:rFonts w:ascii="Aptos" w:cs="Aptos" w:eastAsia="Aptos" w:hAnsi="Aptos"/>
          <w:b/>
          <w:bCs/>
          <w:color w:val="003865"/>
          <w:sz w:val="26"/>
          <w:szCs w:val="26"/>
        </w:rPr>
        <w:t xml:space="preserve">1. What is tracked</w:t>
      </w:r>
    </w:p>
    <w:p>
      <w:pPr>
        <w:spacing w:after="160" w:line="288"/>
      </w:pPr>
      <w:r>
        <w:rPr>
          <w:rFonts w:ascii="Aptos" w:cs="Aptos" w:eastAsia="Aptos" w:hAnsi="Aptos"/>
          <w:color w:val="000000"/>
          <w:sz w:val="22"/>
          <w:szCs w:val="22"/>
        </w:rPr>
        <w:t xml:space="preserve">Everything reported is one of six things. Each has a record with an owner.</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900"/>
        <w:gridCol w:w="4100"/>
        <w:gridCol w:w="3360"/>
      </w:tblGrid>
      <w:tr>
        <w:trPr>
          <w:tblHeader/>
        </w:trPr>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Unit</w:t>
            </w:r>
          </w:p>
        </w:tc>
        <w:tc>
          <w:tcPr>
            <w:tcW w:type="dxa" w:w="4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is</w:t>
            </w:r>
          </w:p>
        </w:tc>
        <w:tc>
          <w:tcPr>
            <w:tcW w:type="dxa" w:w="33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Where it lives</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Workstream</w:t>
            </w:r>
          </w:p>
        </w:tc>
        <w:tc>
          <w:tcPr>
            <w:tcW w:type="dxa" w:w="4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of the ten areas in the operational workplan, each with outcomes, a target and a status.</w:t>
            </w:r>
          </w:p>
        </w:tc>
        <w:tc>
          <w:tcPr>
            <w:tcW w:type="dxa" w:w="3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operational workplan</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 item</w:t>
            </w:r>
          </w:p>
        </w:tc>
        <w:tc>
          <w:tcPr>
            <w:tcW w:type="dxa" w:w="4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bounded piece of work with a decision owner, an intended outcome and evidence when done.</w:t>
            </w:r>
          </w:p>
        </w:tc>
        <w:tc>
          <w:tcPr>
            <w:tcW w:type="dxa" w:w="3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Team workspace record; workplan</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Release</w:t>
            </w:r>
          </w:p>
        </w:tc>
        <w:tc>
          <w:tcPr>
            <w:tcW w:type="dxa" w:w="4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change to the Program: content added, revised or withdrawn, a tool, or a curriculum. Recorded from now; visible to staff once the Division opens the Program.</w:t>
            </w:r>
          </w:p>
        </w:tc>
        <w:tc>
          <w:tcPr>
            <w:tcW w:type="dxa" w:w="3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Monthly release note</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Decision or support request</w:t>
            </w:r>
          </w:p>
        </w:tc>
        <w:tc>
          <w:tcPr>
            <w:tcW w:type="dxa" w:w="4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Something a named person must decide or provide, with a date.</w:t>
            </w:r>
          </w:p>
        </w:tc>
        <w:tc>
          <w:tcPr>
            <w:tcW w:type="dxa" w:w="3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Decision log and support register</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Barrier</w:t>
            </w:r>
          </w:p>
        </w:tc>
        <w:tc>
          <w:tcPr>
            <w:tcW w:type="dxa" w:w="4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is blocked, since when, what has been tried, what would unblock it.</w:t>
            </w:r>
          </w:p>
        </w:tc>
        <w:tc>
          <w:tcPr>
            <w:tcW w:type="dxa" w:w="3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Barrier entry; raised at check-in</w:t>
            </w:r>
          </w:p>
        </w:tc>
      </w:tr>
      <w:tr>
        <w:tc>
          <w:tcPr>
            <w:tcW w:type="dxa" w:w="1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Measure</w:t>
            </w:r>
          </w:p>
        </w:tc>
        <w:tc>
          <w:tcPr>
            <w:tcW w:type="dxa" w:w="4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Evidence about program support and organizational patterns, never about individual employees.</w:t>
            </w:r>
          </w:p>
        </w:tc>
        <w:tc>
          <w:tcPr>
            <w:tcW w:type="dxa" w:w="3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Quarterly report; dashboard once the baseline exists</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2. Status words and what “done” means</w:t>
      </w:r>
    </w:p>
    <w:p>
      <w:pPr>
        <w:spacing w:after="160" w:line="288"/>
      </w:pPr>
      <w:r>
        <w:rPr>
          <w:rFonts w:ascii="Aptos" w:cs="Aptos" w:eastAsia="Aptos" w:hAnsi="Aptos"/>
          <w:color w:val="000000"/>
          <w:sz w:val="22"/>
          <w:szCs w:val="22"/>
        </w:rPr>
        <w:t xml:space="preserve">The same five words are used everywhere, so a status means one thing whether it appears in the workplan, a monthly update or a quarterly report.</w:t>
      </w:r>
    </w:p>
    <w:p>
      <w:pPr>
        <w:pStyle w:val="ListParagraph"/>
        <w:numPr>
          <w:ilvl w:val="0"/>
          <w:numId w:val="2"/>
        </w:numPr>
        <w:spacing w:after="80" w:line="282"/>
      </w:pPr>
      <w:r>
        <w:rPr>
          <w:rFonts w:ascii="Aptos" w:cs="Aptos" w:eastAsia="Aptos" w:hAnsi="Aptos"/>
          <w:b/>
          <w:bCs/>
          <w:color w:val="000000"/>
          <w:sz w:val="22"/>
          <w:szCs w:val="22"/>
        </w:rPr>
        <w:t xml:space="preserve">Built. </w:t>
      </w:r>
      <w:r>
        <w:rPr>
          <w:rFonts w:ascii="Aptos" w:cs="Aptos" w:eastAsia="Aptos" w:hAnsi="Aptos"/>
          <w:color w:val="000000"/>
          <w:sz w:val="22"/>
          <w:szCs w:val="22"/>
        </w:rPr>
        <w:t xml:space="preserve">Complete in the Program and ready for staff when the Division opens it. Not in use today; nothing has launched.</w:t>
      </w:r>
    </w:p>
    <w:p>
      <w:pPr>
        <w:pStyle w:val="ListParagraph"/>
        <w:numPr>
          <w:ilvl w:val="0"/>
          <w:numId w:val="2"/>
        </w:numPr>
        <w:spacing w:after="80" w:line="282"/>
      </w:pPr>
      <w:r>
        <w:rPr>
          <w:rFonts w:ascii="Aptos" w:cs="Aptos" w:eastAsia="Aptos" w:hAnsi="Aptos"/>
          <w:b/>
          <w:bCs/>
          <w:color w:val="000000"/>
          <w:sz w:val="22"/>
          <w:szCs w:val="22"/>
        </w:rPr>
        <w:t xml:space="preserve">In progress. </w:t>
      </w:r>
      <w:r>
        <w:rPr>
          <w:rFonts w:ascii="Aptos" w:cs="Aptos" w:eastAsia="Aptos" w:hAnsi="Aptos"/>
          <w:color w:val="000000"/>
          <w:sz w:val="22"/>
          <w:szCs w:val="22"/>
        </w:rPr>
        <w:t xml:space="preserve">Work has started and has an owner, an outcome and a target.</w:t>
      </w:r>
    </w:p>
    <w:p>
      <w:pPr>
        <w:pStyle w:val="ListParagraph"/>
        <w:numPr>
          <w:ilvl w:val="0"/>
          <w:numId w:val="2"/>
        </w:numPr>
        <w:spacing w:after="80" w:line="282"/>
      </w:pPr>
      <w:r>
        <w:rPr>
          <w:rFonts w:ascii="Aptos" w:cs="Aptos" w:eastAsia="Aptos" w:hAnsi="Aptos"/>
          <w:b/>
          <w:bCs/>
          <w:color w:val="000000"/>
          <w:sz w:val="22"/>
          <w:szCs w:val="22"/>
        </w:rPr>
        <w:t xml:space="preserve">Proposed. </w:t>
      </w:r>
      <w:r>
        <w:rPr>
          <w:rFonts w:ascii="Aptos" w:cs="Aptos" w:eastAsia="Aptos" w:hAnsi="Aptos"/>
          <w:color w:val="000000"/>
          <w:sz w:val="22"/>
          <w:szCs w:val="22"/>
        </w:rPr>
        <w:t xml:space="preserve">Designed and ready, waiting on a decision, a dependency or capacity.</w:t>
      </w:r>
    </w:p>
    <w:p>
      <w:pPr>
        <w:pStyle w:val="ListParagraph"/>
        <w:numPr>
          <w:ilvl w:val="0"/>
          <w:numId w:val="2"/>
        </w:numPr>
        <w:spacing w:after="80" w:line="282"/>
      </w:pPr>
      <w:r>
        <w:rPr>
          <w:rFonts w:ascii="Aptos" w:cs="Aptos" w:eastAsia="Aptos" w:hAnsi="Aptos"/>
          <w:b/>
          <w:bCs/>
          <w:color w:val="000000"/>
          <w:sz w:val="22"/>
          <w:szCs w:val="22"/>
        </w:rPr>
        <w:t xml:space="preserve">Needs decision. </w:t>
      </w:r>
      <w:r>
        <w:rPr>
          <w:rFonts w:ascii="Aptos" w:cs="Aptos" w:eastAsia="Aptos" w:hAnsi="Aptos"/>
          <w:color w:val="000000"/>
          <w:sz w:val="22"/>
          <w:szCs w:val="22"/>
        </w:rPr>
        <w:t xml:space="preserve">Cannot move until a named person decides; the decision is in the log with a date.</w:t>
      </w:r>
    </w:p>
    <w:p>
      <w:pPr>
        <w:pStyle w:val="ListParagraph"/>
        <w:numPr>
          <w:ilvl w:val="0"/>
          <w:numId w:val="2"/>
        </w:numPr>
        <w:spacing w:after="80" w:line="282"/>
      </w:pPr>
      <w:r>
        <w:rPr>
          <w:rFonts w:ascii="Aptos" w:cs="Aptos" w:eastAsia="Aptos" w:hAnsi="Aptos"/>
          <w:b/>
          <w:bCs/>
          <w:color w:val="000000"/>
          <w:sz w:val="22"/>
          <w:szCs w:val="22"/>
        </w:rPr>
        <w:t xml:space="preserve">Blocked. </w:t>
      </w:r>
      <w:r>
        <w:rPr>
          <w:rFonts w:ascii="Aptos" w:cs="Aptos" w:eastAsia="Aptos" w:hAnsi="Aptos"/>
          <w:color w:val="000000"/>
          <w:sz w:val="22"/>
          <w:szCs w:val="22"/>
        </w:rPr>
        <w:t xml:space="preserve">Started, then stopped by a barrier that is recorded and raised.</w:t>
      </w:r>
    </w:p>
    <w:p>
      <w:pPr>
        <w:spacing w:after="160" w:line="288"/>
      </w:pPr>
      <w:r>
        <w:rPr>
          <w:rFonts w:ascii="Aptos" w:cs="Aptos" w:eastAsia="Aptos" w:hAnsi="Aptos"/>
          <w:b/>
          <w:bCs/>
          <w:color w:val="000000"/>
          <w:sz w:val="22"/>
          <w:szCs w:val="22"/>
        </w:rPr>
        <w:t xml:space="preserve">Done </w:t>
      </w:r>
      <w:r>
        <w:rPr>
          <w:rFonts w:ascii="Aptos" w:cs="Aptos" w:eastAsia="Aptos" w:hAnsi="Aptos"/>
          <w:color w:val="000000"/>
          <w:sz w:val="22"/>
          <w:szCs w:val="22"/>
        </w:rPr>
        <w:t xml:space="preserve">means the intended outcome exists and the evidence for it is recorded. Activity is not an outcome: a meeting held, a page viewed or a course completed is not reported as a result. Where a target is at risk the timeline is marked amber; where it will be missed, red, with the new date and the reason.</w:t>
      </w:r>
    </w:p>
    <w:p>
      <w:pPr>
        <w:pStyle w:val="Heading1"/>
        <w:pBdr>
          <w:bottom w:val="single" w:color="003865" w:sz="6" w:space="6"/>
        </w:pBdr>
        <w:spacing w:after="180" w:before="400"/>
      </w:pPr>
      <w:r>
        <w:rPr>
          <w:rFonts w:ascii="Aptos" w:cs="Aptos" w:eastAsia="Aptos" w:hAnsi="Aptos"/>
          <w:b/>
          <w:bCs/>
          <w:color w:val="003865"/>
          <w:sz w:val="26"/>
          <w:szCs w:val="26"/>
        </w:rPr>
        <w:t xml:space="preserve">3. Cadence and artifacts</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800"/>
        <w:gridCol w:w="3900"/>
        <w:gridCol w:w="1700"/>
        <w:gridCol w:w="1960"/>
      </w:tblGrid>
      <w:tr>
        <w:trPr>
          <w:tblHeader/>
        </w:trPr>
        <w:tc>
          <w:tcPr>
            <w:tcW w:type="dxa" w:w="18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Artifact</w:t>
            </w:r>
          </w:p>
        </w:tc>
        <w:tc>
          <w:tcPr>
            <w:tcW w:type="dxa" w:w="3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contains</w:t>
            </w:r>
          </w:p>
        </w:tc>
        <w:tc>
          <w:tcPr>
            <w:tcW w:type="dxa" w:w="17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When</w:t>
            </w:r>
          </w:p>
        </w:tc>
        <w:tc>
          <w:tcPr>
            <w:tcW w:type="dxa" w:w="19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Check-in</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workplan with status and decision log updated beforehand; barriers since the last check-in; what I need from you.</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two weeks, thirty minutes</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You and me</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Monthly update</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page: Done · Next · Blocked · Decisions needed · Measures, with the month's release note attached.</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First working day of each month; first on October 1, 2026</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 to you; shareable with the managers</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Quarterly report</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Progress against each workstream target; the measures in section 4; gate checks passed or not; support delivered or outstanding; a correction plan for any disparity not moving; next quarter's priorities.</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Within ten working days of quarter end; first for October–December 2026 in January 2027</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 to you and Heidi Hamilton; to the ADSA Equity Committee through the DEIA Council chair</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Launch report</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Whether the Program is ready to open, what remains, and the proposed January 2027 opening date.</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December 2026</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 to you and Heidi Hamilton</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Quarterly learning review</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councils examine the quarterly report and adjust strategy, as the Framework provides.</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Once the councils are chartered</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Executive Council and DEIA Council</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Annual report</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year's outcomes against the Framework arc and the ADSA plan; charter reviews; next year's priorities.</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December each year; first December 2027</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 to Heidi Hamilton through you</w:t>
            </w:r>
          </w:p>
        </w:tc>
      </w:tr>
      <w:tr>
        <w:tc>
          <w:tcPr>
            <w:tcW w:type="dxa" w:w="18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General division-wide equity assessment</w:t>
            </w:r>
          </w:p>
        </w:tc>
        <w:tc>
          <w:tcPr>
            <w:tcW w:type="dxa" w:w="3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qualitative read of the Division in staff's own words, coded and reported as the 2023–2024 assessment was, with the previous cycle's findings alongside for comparison.</w:t>
            </w:r>
          </w:p>
        </w:tc>
        <w:tc>
          <w:tcPr>
            <w:tcW w:type="dxa" w:w="17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two years. The last concluded in 2024; the next runs with the 2027 launch, then 2029 and 2031.</w:t>
            </w:r>
          </w:p>
        </w:tc>
        <w:tc>
          <w:tcPr>
            <w:tcW w:type="dxa" w:w="1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Me, with a project partner and the DEIA Council</w:t>
            </w:r>
          </w:p>
        </w:tc>
      </w:tr>
    </w:tbl>
    <w:p>
      <w:pPr>
        <w:spacing w:after="160" w:line="288"/>
      </w:pPr>
      <w:r>
        <w:rPr>
          <w:rFonts w:ascii="Aptos" w:cs="Aptos" w:eastAsia="Aptos" w:hAnsi="Aptos"/>
          <w:b/>
          <w:bCs/>
          <w:color w:val="000000"/>
          <w:sz w:val="22"/>
          <w:szCs w:val="22"/>
        </w:rPr>
        <w:t xml:space="preserve">Why the biennial assessment sits in this table. </w:t>
      </w:r>
      <w:r>
        <w:rPr>
          <w:rFonts w:ascii="Aptos" w:cs="Aptos" w:eastAsia="Aptos" w:hAnsi="Aptos"/>
          <w:color w:val="000000"/>
          <w:sz w:val="22"/>
          <w:szCs w:val="22"/>
        </w:rPr>
        <w:t xml:space="preserve">The annual climate survey counts things; the biennial assessment listens. Findings such as performative equity, a culture of perfection, moral fatigue and loneliness do not appear on a scale. Both are needed and neither substitutes for the other. Repeating it also gives the Program its own feedback loop: the second assessment measures whether the tools built from the first changed what staff actually experience.</w:t>
      </w:r>
    </w:p>
    <w:p>
      <w:pPr>
        <w:pStyle w:val="Heading1"/>
        <w:pBdr>
          <w:bottom w:val="single" w:color="003865" w:sz="6" w:space="6"/>
        </w:pBdr>
        <w:spacing w:after="180" w:before="400"/>
      </w:pPr>
      <w:r>
        <w:rPr>
          <w:rFonts w:ascii="Aptos" w:cs="Aptos" w:eastAsia="Aptos" w:hAnsi="Aptos"/>
          <w:b/>
          <w:bCs/>
          <w:color w:val="003865"/>
          <w:sz w:val="26"/>
          <w:szCs w:val="26"/>
        </w:rPr>
        <w:t xml:space="preserve">4. The measures that are reported</w:t>
      </w:r>
    </w:p>
    <w:p>
      <w:pPr>
        <w:spacing w:after="160" w:line="288"/>
      </w:pPr>
      <w:r>
        <w:rPr>
          <w:rFonts w:ascii="Aptos" w:cs="Aptos" w:eastAsia="Aptos" w:hAnsi="Aptos"/>
          <w:color w:val="000000"/>
          <w:sz w:val="22"/>
          <w:szCs w:val="22"/>
        </w:rPr>
        <w:t xml:space="preserve">Measures examine program support and organizational patterns. They never measure an individual employee, and an empty record means no evidence in that record, not that nothing happened elsewhere.</w:t>
      </w:r>
    </w:p>
    <w:p>
      <w:pPr>
        <w:pStyle w:val="Heading2"/>
        <w:spacing w:after="110" w:before="300"/>
      </w:pPr>
      <w:r>
        <w:rPr>
          <w:rFonts w:ascii="Aptos" w:cs="Aptos" w:eastAsia="Aptos" w:hAnsi="Aptos"/>
          <w:b/>
          <w:bCs/>
          <w:color w:val="003865"/>
          <w:sz w:val="23"/>
          <w:szCs w:val="23"/>
        </w:rPr>
        <w:t xml:space="preserve">Program support</w:t>
      </w:r>
    </w:p>
    <w:p>
      <w:pPr>
        <w:pStyle w:val="ListParagraph"/>
        <w:numPr>
          <w:ilvl w:val="0"/>
          <w:numId w:val="2"/>
        </w:numPr>
        <w:spacing w:after="80" w:line="282"/>
      </w:pPr>
      <w:r>
        <w:rPr>
          <w:rFonts w:ascii="Aptos" w:cs="Aptos" w:eastAsia="Aptos" w:hAnsi="Aptos"/>
          <w:color w:val="000000"/>
          <w:sz w:val="22"/>
          <w:szCs w:val="22"/>
        </w:rPr>
        <w:t xml:space="preserve">Can staff find trusted support faster: task success on Home, the One DSD entry and ASK, from moderated sessions.</w:t>
      </w:r>
    </w:p>
    <w:p>
      <w:pPr>
        <w:pStyle w:val="ListParagraph"/>
        <w:numPr>
          <w:ilvl w:val="0"/>
          <w:numId w:val="2"/>
        </w:numPr>
        <w:spacing w:after="80" w:line="282"/>
      </w:pPr>
      <w:r>
        <w:rPr>
          <w:rFonts w:ascii="Aptos" w:cs="Aptos" w:eastAsia="Aptos" w:hAnsi="Aptos"/>
          <w:color w:val="000000"/>
          <w:sz w:val="22"/>
          <w:szCs w:val="22"/>
        </w:rPr>
        <w:t xml:space="preserve">Do they apply it to real work: voluntary participant accounts with source, the change described, the period and its limits.</w:t>
      </w:r>
    </w:p>
    <w:p>
      <w:pPr>
        <w:pStyle w:val="ListParagraph"/>
        <w:numPr>
          <w:ilvl w:val="0"/>
          <w:numId w:val="2"/>
        </w:numPr>
        <w:spacing w:after="80" w:line="282"/>
      </w:pPr>
      <w:r>
        <w:rPr>
          <w:rFonts w:ascii="Aptos" w:cs="Aptos" w:eastAsia="Aptos" w:hAnsi="Aptos"/>
          <w:color w:val="000000"/>
          <w:sz w:val="22"/>
          <w:szCs w:val="22"/>
        </w:rPr>
        <w:t xml:space="preserve">Can they tell when human authority is required: escalation paths visible; intake used appropriately.</w:t>
      </w:r>
    </w:p>
    <w:p>
      <w:pPr>
        <w:pStyle w:val="ListParagraph"/>
        <w:numPr>
          <w:ilvl w:val="0"/>
          <w:numId w:val="2"/>
        </w:numPr>
        <w:spacing w:after="80" w:line="282"/>
      </w:pPr>
      <w:r>
        <w:rPr>
          <w:rFonts w:ascii="Aptos" w:cs="Aptos" w:eastAsia="Aptos" w:hAnsi="Aptos"/>
          <w:color w:val="000000"/>
          <w:sz w:val="22"/>
          <w:szCs w:val="22"/>
        </w:rPr>
        <w:t xml:space="preserve">What is inaccessible, outdated, missing, confusing or hard to apply: recorded dispositions with owners and review dates.</w:t>
      </w:r>
    </w:p>
    <w:p>
      <w:pPr>
        <w:pStyle w:val="ListParagraph"/>
        <w:numPr>
          <w:ilvl w:val="0"/>
          <w:numId w:val="2"/>
        </w:numPr>
        <w:spacing w:after="80" w:line="282"/>
      </w:pPr>
      <w:r>
        <w:rPr>
          <w:rFonts w:ascii="Aptos" w:cs="Aptos" w:eastAsia="Aptos" w:hAnsi="Aptos"/>
          <w:color w:val="000000"/>
          <w:sz w:val="22"/>
          <w:szCs w:val="22"/>
        </w:rPr>
        <w:t xml:space="preserve">Did bounded work produce a change: work-item outcomes, with delivery, application and benefit kept distinct.</w:t>
      </w:r>
    </w:p>
    <w:p>
      <w:pPr>
        <w:pStyle w:val="Heading2"/>
        <w:spacing w:after="110" w:before="300"/>
      </w:pPr>
      <w:r>
        <w:rPr>
          <w:rFonts w:ascii="Aptos" w:cs="Aptos" w:eastAsia="Aptos" w:hAnsi="Aptos"/>
          <w:b/>
          <w:bCs/>
          <w:color w:val="003865"/>
          <w:sz w:val="23"/>
          <w:szCs w:val="23"/>
        </w:rPr>
        <w:t xml:space="preserve">Content stewardship</w:t>
      </w:r>
    </w:p>
    <w:p>
      <w:pPr>
        <w:pStyle w:val="ListParagraph"/>
        <w:numPr>
          <w:ilvl w:val="0"/>
          <w:numId w:val="2"/>
        </w:numPr>
        <w:spacing w:after="80" w:line="282"/>
      </w:pPr>
      <w:r>
        <w:rPr>
          <w:rFonts w:ascii="Aptos" w:cs="Aptos" w:eastAsia="Aptos" w:hAnsi="Aptos"/>
          <w:color w:val="000000"/>
          <w:sz w:val="22"/>
          <w:szCs w:val="22"/>
        </w:rPr>
        <w:t xml:space="preserve">Releases in the period; items added, revised and withdrawn; outside sources verified and reached before release; anything deferred to another office.</w:t>
      </w:r>
    </w:p>
    <w:p>
      <w:pPr>
        <w:pStyle w:val="ListParagraph"/>
        <w:numPr>
          <w:ilvl w:val="0"/>
          <w:numId w:val="2"/>
        </w:numPr>
        <w:spacing w:after="80" w:line="282"/>
      </w:pPr>
      <w:r>
        <w:rPr>
          <w:rFonts w:ascii="Aptos" w:cs="Aptos" w:eastAsia="Aptos" w:hAnsi="Aptos"/>
          <w:color w:val="000000"/>
          <w:sz w:val="22"/>
          <w:szCs w:val="22"/>
        </w:rPr>
        <w:t xml:space="preserve">Themes emerging from the end-of-module suggestion prompts, and what was built or revised in response.</w:t>
      </w:r>
    </w:p>
    <w:p>
      <w:pPr>
        <w:pStyle w:val="Heading2"/>
        <w:spacing w:after="110" w:before="300"/>
      </w:pPr>
      <w:r>
        <w:rPr>
          <w:rFonts w:ascii="Aptos" w:cs="Aptos" w:eastAsia="Aptos" w:hAnsi="Aptos"/>
          <w:b/>
          <w:bCs/>
          <w:color w:val="003865"/>
          <w:sz w:val="23"/>
          <w:szCs w:val="23"/>
        </w:rPr>
        <w:t xml:space="preserve">Participation and use, in aggregate only</w:t>
      </w:r>
    </w:p>
    <w:p>
      <w:pPr>
        <w:pStyle w:val="ListParagraph"/>
        <w:numPr>
          <w:ilvl w:val="0"/>
          <w:numId w:val="2"/>
        </w:numPr>
        <w:spacing w:after="80" w:line="282"/>
      </w:pPr>
      <w:r>
        <w:rPr>
          <w:rFonts w:ascii="Aptos" w:cs="Aptos" w:eastAsia="Aptos" w:hAnsi="Aptos"/>
          <w:color w:val="000000"/>
          <w:sz w:val="22"/>
          <w:szCs w:val="22"/>
        </w:rPr>
        <w:t xml:space="preserve">Program use by area and resource type; Team and Amplify participation; learning cohorts started and completed. Never reported by name, never used to rank people or units.</w:t>
      </w:r>
    </w:p>
    <w:p>
      <w:pPr>
        <w:pStyle w:val="ListParagraph"/>
        <w:numPr>
          <w:ilvl w:val="0"/>
          <w:numId w:val="2"/>
        </w:numPr>
        <w:spacing w:after="80" w:line="282"/>
      </w:pPr>
      <w:r>
        <w:rPr>
          <w:rFonts w:ascii="Aptos" w:cs="Aptos" w:eastAsia="Aptos" w:hAnsi="Aptos"/>
          <w:color w:val="000000"/>
          <w:sz w:val="22"/>
          <w:szCs w:val="22"/>
        </w:rPr>
        <w:t xml:space="preserve">Course and practice-path completion, downloads by resource and format, and the questions most often put to ASK — counted, not attributed, and read for what to build next.</w:t>
      </w:r>
    </w:p>
    <w:p>
      <w:pPr>
        <w:pStyle w:val="Heading2"/>
        <w:spacing w:after="110" w:before="300"/>
      </w:pPr>
      <w:r>
        <w:rPr>
          <w:rFonts w:ascii="Aptos" w:cs="Aptos" w:eastAsia="Aptos" w:hAnsi="Aptos"/>
          <w:b/>
          <w:bCs/>
          <w:color w:val="003865"/>
          <w:sz w:val="23"/>
          <w:szCs w:val="23"/>
        </w:rPr>
        <w:t xml:space="preserve">Governance and gate checks</w:t>
      </w:r>
    </w:p>
    <w:p>
      <w:pPr>
        <w:pStyle w:val="ListParagraph"/>
        <w:numPr>
          <w:ilvl w:val="0"/>
          <w:numId w:val="2"/>
        </w:numPr>
        <w:spacing w:after="80" w:line="282"/>
      </w:pPr>
      <w:r>
        <w:rPr>
          <w:rFonts w:ascii="Aptos" w:cs="Aptos" w:eastAsia="Aptos" w:hAnsi="Aptos"/>
          <w:color w:val="000000"/>
          <w:sz w:val="22"/>
          <w:szCs w:val="22"/>
        </w:rPr>
        <w:t xml:space="preserve">Framework gate checks answered yes or no with the verification named; decision-log items closed on time; protected time documented.</w:t>
      </w:r>
    </w:p>
    <w:p>
      <w:pPr>
        <w:pStyle w:val="Heading2"/>
        <w:spacing w:after="110" w:before="300"/>
      </w:pPr>
      <w:r>
        <w:rPr>
          <w:rFonts w:ascii="Aptos" w:cs="Aptos" w:eastAsia="Aptos" w:hAnsi="Aptos"/>
          <w:b/>
          <w:bCs/>
          <w:color w:val="003865"/>
          <w:sz w:val="23"/>
          <w:szCs w:val="23"/>
        </w:rPr>
        <w:t xml:space="preserve">Disparities data, once the baseline exists</w:t>
      </w:r>
    </w:p>
    <w:p>
      <w:pPr>
        <w:pStyle w:val="ListParagraph"/>
        <w:numPr>
          <w:ilvl w:val="0"/>
          <w:numId w:val="2"/>
        </w:numPr>
        <w:spacing w:after="80" w:line="282"/>
      </w:pPr>
      <w:r>
        <w:rPr>
          <w:rFonts w:ascii="Aptos" w:cs="Aptos" w:eastAsia="Aptos" w:hAnsi="Aptos"/>
          <w:color w:val="000000"/>
          <w:sz w:val="22"/>
          <w:szCs w:val="22"/>
        </w:rPr>
        <w:t xml:space="preserve">Disaggregated by race, disability, gender and language with a minimum cell size of five; recruitment, retention, advancement, accommodation and pay. When a quarterly report shows a disparity not improving, the correction plan is triggered: specific operational changes, named owners, due dates and the measure to be read next quarter.</w:t>
      </w:r>
    </w:p>
    <w:p>
      <w:pPr>
        <w:pStyle w:val="Heading1"/>
        <w:pBdr>
          <w:bottom w:val="single" w:color="003865" w:sz="6" w:space="6"/>
        </w:pBdr>
        <w:spacing w:after="180" w:before="400"/>
      </w:pPr>
      <w:r>
        <w:rPr>
          <w:rFonts w:ascii="Aptos" w:cs="Aptos" w:eastAsia="Aptos" w:hAnsi="Aptos"/>
          <w:b/>
          <w:bCs/>
          <w:color w:val="003865"/>
          <w:sz w:val="26"/>
          <w:szCs w:val="26"/>
        </w:rPr>
        <w:t xml:space="preserve">5. The decision log and support register</w:t>
      </w:r>
    </w:p>
    <w:p>
      <w:pPr>
        <w:spacing w:after="160" w:line="288"/>
      </w:pPr>
      <w:r>
        <w:rPr>
          <w:rFonts w:ascii="Aptos" w:cs="Aptos" w:eastAsia="Aptos" w:hAnsi="Aptos"/>
          <w:color w:val="000000"/>
          <w:sz w:val="22"/>
          <w:szCs w:val="22"/>
        </w:rPr>
        <w:t xml:space="preserve">Every ask of another person is written down once, with an owner and a date, and reviewed at every check-in. Nothing is asked twice by accident and nothing is forgotten.</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3400"/>
        <w:gridCol w:w="5960"/>
      </w:tblGrid>
      <w:tr>
        <w:trPr>
          <w:tblHeader/>
        </w:trPr>
        <w:tc>
          <w:tcPr>
            <w:tcW w:type="dxa" w:w="34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Field</w:t>
            </w:r>
          </w:p>
        </w:tc>
        <w:tc>
          <w:tcPr>
            <w:tcW w:type="dxa" w:w="59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Rule</w:t>
            </w:r>
          </w:p>
        </w:tc>
      </w:tr>
      <w:tr>
        <w:tc>
          <w:tcPr>
            <w:tcW w:type="dxa" w:w="3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What is needed</w:t>
            </w:r>
          </w:p>
        </w:tc>
        <w:tc>
          <w:tcPr>
            <w:tcW w:type="dxa" w:w="5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sentence: a decision, an approval, time, data, a person.</w:t>
            </w:r>
          </w:p>
        </w:tc>
      </w:tr>
      <w:tr>
        <w:tc>
          <w:tcPr>
            <w:tcW w:type="dxa" w:w="3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From whom</w:t>
            </w:r>
          </w:p>
        </w:tc>
        <w:tc>
          <w:tcPr>
            <w:tcW w:type="dxa" w:w="5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named person or role: you, a manager, Heidi Hamilton, HR, Data and Analytics, ADSA.</w:t>
            </w:r>
          </w:p>
        </w:tc>
      </w:tr>
      <w:tr>
        <w:tc>
          <w:tcPr>
            <w:tcW w:type="dxa" w:w="3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By when</w:t>
            </w:r>
          </w:p>
        </w:tc>
        <w:tc>
          <w:tcPr>
            <w:tcW w:type="dxa" w:w="5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date. If none can be given, the entry says why and when it will be revisited.</w:t>
            </w:r>
          </w:p>
        </w:tc>
      </w:tr>
      <w:tr>
        <w:tc>
          <w:tcPr>
            <w:tcW w:type="dxa" w:w="3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Workstream</w:t>
            </w:r>
          </w:p>
        </w:tc>
        <w:tc>
          <w:tcPr>
            <w:tcW w:type="dxa" w:w="5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workstream it unblocks.</w:t>
            </w:r>
          </w:p>
        </w:tc>
      </w:tr>
      <w:tr>
        <w:tc>
          <w:tcPr>
            <w:tcW w:type="dxa" w:w="3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Status</w:t>
            </w:r>
          </w:p>
        </w:tc>
        <w:tc>
          <w:tcPr>
            <w:tcW w:type="dxa" w:w="5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Open · Provided · Declined · Deferred, with the date it changed.</w:t>
            </w:r>
          </w:p>
        </w:tc>
      </w:tr>
      <w:tr>
        <w:tc>
          <w:tcPr>
            <w:tcW w:type="dxa" w:w="34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Effect</w:t>
            </w:r>
          </w:p>
        </w:tc>
        <w:tc>
          <w:tcPr>
            <w:tcW w:type="dxa" w:w="59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What moved once it was provided, written when it closes.</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6. Escalation</w:t>
      </w:r>
    </w:p>
    <w:p>
      <w:pPr>
        <w:pStyle w:val="ListParagraph"/>
        <w:numPr>
          <w:ilvl w:val="0"/>
          <w:numId w:val="3"/>
        </w:numPr>
        <w:spacing w:after="110" w:line="282"/>
      </w:pPr>
      <w:r>
        <w:rPr>
          <w:rFonts w:ascii="Aptos" w:cs="Aptos" w:eastAsia="Aptos" w:hAnsi="Aptos"/>
          <w:color w:val="000000"/>
          <w:sz w:val="22"/>
          <w:szCs w:val="22"/>
        </w:rPr>
        <w:t xml:space="preserve">A barrier is raised at the check-in where it appears, with what I have tried and what would unblock it.</w:t>
      </w:r>
    </w:p>
    <w:p>
      <w:pPr>
        <w:pStyle w:val="ListParagraph"/>
        <w:numPr>
          <w:ilvl w:val="0"/>
          <w:numId w:val="3"/>
        </w:numPr>
        <w:spacing w:after="110" w:line="282"/>
      </w:pPr>
      <w:r>
        <w:rPr>
          <w:rFonts w:ascii="Aptos" w:cs="Aptos" w:eastAsia="Aptos" w:hAnsi="Aptos"/>
          <w:color w:val="000000"/>
          <w:sz w:val="22"/>
          <w:szCs w:val="22"/>
        </w:rPr>
        <w:t xml:space="preserve">A barrier unresolved after two check-ins, or a decision past its date, goes into the monthly update under Decisions needed, addressed to you.</w:t>
      </w:r>
    </w:p>
    <w:p>
      <w:pPr>
        <w:pStyle w:val="ListParagraph"/>
        <w:numPr>
          <w:ilvl w:val="0"/>
          <w:numId w:val="3"/>
        </w:numPr>
        <w:spacing w:after="110" w:line="282"/>
      </w:pPr>
      <w:r>
        <w:rPr>
          <w:rFonts w:ascii="Aptos" w:cs="Aptos" w:eastAsia="Aptos" w:hAnsi="Aptos"/>
          <w:color w:val="000000"/>
          <w:sz w:val="22"/>
          <w:szCs w:val="22"/>
        </w:rPr>
        <w:t xml:space="preserve">Where the decision or the time belongs to the managers, you convene them, or I bring it to the quarterly review with the managers.</w:t>
      </w:r>
    </w:p>
    <w:p>
      <w:pPr>
        <w:pStyle w:val="ListParagraph"/>
        <w:numPr>
          <w:ilvl w:val="0"/>
          <w:numId w:val="3"/>
        </w:numPr>
        <w:spacing w:after="110" w:line="282"/>
      </w:pPr>
      <w:r>
        <w:rPr>
          <w:rFonts w:ascii="Aptos" w:cs="Aptos" w:eastAsia="Aptos" w:hAnsi="Aptos"/>
          <w:color w:val="000000"/>
          <w:sz w:val="22"/>
          <w:szCs w:val="22"/>
        </w:rPr>
        <w:t xml:space="preserve">Where it belongs to the Director, you bring Heidi Hamilton in; the entry names what is being asked and the consequence of waiting.</w:t>
      </w:r>
    </w:p>
    <w:p>
      <w:pPr>
        <w:pStyle w:val="ListParagraph"/>
        <w:numPr>
          <w:ilvl w:val="0"/>
          <w:numId w:val="3"/>
        </w:numPr>
        <w:spacing w:after="110" w:line="282"/>
      </w:pPr>
      <w:r>
        <w:rPr>
          <w:rFonts w:ascii="Aptos" w:cs="Aptos" w:eastAsia="Aptos" w:hAnsi="Aptos"/>
          <w:color w:val="000000"/>
          <w:sz w:val="22"/>
          <w:szCs w:val="22"/>
        </w:rPr>
        <w:t xml:space="preserve">Where it belongs to the Administration, it goes through the DEIA Council chair to the ADSA Equity Committee once that link exists; until then, through you.</w:t>
      </w:r>
    </w:p>
    <w:p>
      <w:pPr>
        <w:pStyle w:val="Heading1"/>
        <w:pBdr>
          <w:bottom w:val="single" w:color="003865" w:sz="6" w:space="6"/>
        </w:pBdr>
        <w:spacing w:after="180" w:before="400"/>
      </w:pPr>
      <w:r>
        <w:rPr>
          <w:rFonts w:ascii="Aptos" w:cs="Aptos" w:eastAsia="Aptos" w:hAnsi="Aptos"/>
          <w:b/>
          <w:bCs/>
          <w:color w:val="003865"/>
          <w:sz w:val="26"/>
          <w:szCs w:val="26"/>
        </w:rPr>
        <w:t xml:space="preserve">7. Records and boundaries</w:t>
      </w:r>
    </w:p>
    <w:p>
      <w:pPr>
        <w:pStyle w:val="ListParagraph"/>
        <w:numPr>
          <w:ilvl w:val="0"/>
          <w:numId w:val="2"/>
        </w:numPr>
        <w:spacing w:after="80" w:line="282"/>
      </w:pPr>
      <w:r>
        <w:rPr>
          <w:rFonts w:ascii="Aptos" w:cs="Aptos" w:eastAsia="Aptos" w:hAnsi="Aptos"/>
          <w:b/>
          <w:bCs/>
          <w:color w:val="000000"/>
          <w:sz w:val="22"/>
          <w:szCs w:val="22"/>
        </w:rPr>
        <w:t xml:space="preserve">Where records are kept. </w:t>
      </w:r>
      <w:r>
        <w:rPr>
          <w:rFonts w:ascii="Aptos" w:cs="Aptos" w:eastAsia="Aptos" w:hAnsi="Aptos"/>
          <w:color w:val="000000"/>
          <w:sz w:val="22"/>
          <w:szCs w:val="22"/>
        </w:rPr>
        <w:t xml:space="preserve">The workplan, decision log, monthly updates and quarterly reports are kept in one place: the Program's records, or the dedicated SharePoint site if that is the system-of-record decision, with the same structure either way.</w:t>
      </w:r>
    </w:p>
    <w:p>
      <w:pPr>
        <w:pStyle w:val="ListParagraph"/>
        <w:numPr>
          <w:ilvl w:val="0"/>
          <w:numId w:val="2"/>
        </w:numPr>
        <w:spacing w:after="80" w:line="282"/>
      </w:pPr>
      <w:r>
        <w:rPr>
          <w:rFonts w:ascii="Aptos" w:cs="Aptos" w:eastAsia="Aptos" w:hAnsi="Aptos"/>
          <w:b/>
          <w:bCs/>
          <w:color w:val="000000"/>
          <w:sz w:val="22"/>
          <w:szCs w:val="22"/>
        </w:rPr>
        <w:t xml:space="preserve">What never enters a record. </w:t>
      </w:r>
      <w:r>
        <w:rPr>
          <w:rFonts w:ascii="Aptos" w:cs="Aptos" w:eastAsia="Aptos" w:hAnsi="Aptos"/>
          <w:color w:val="000000"/>
          <w:sz w:val="22"/>
          <w:szCs w:val="22"/>
        </w:rPr>
        <w:t xml:space="preserve">Case, medical, personnel, complaint or identifying details about any person. Work items are described by the work, not the people.</w:t>
      </w:r>
    </w:p>
    <w:p>
      <w:pPr>
        <w:pStyle w:val="ListParagraph"/>
        <w:numPr>
          <w:ilvl w:val="0"/>
          <w:numId w:val="2"/>
        </w:numPr>
        <w:spacing w:after="80" w:line="282"/>
      </w:pPr>
      <w:r>
        <w:rPr>
          <w:rFonts w:ascii="Aptos" w:cs="Aptos" w:eastAsia="Aptos" w:hAnsi="Aptos"/>
          <w:b/>
          <w:bCs/>
          <w:color w:val="000000"/>
          <w:sz w:val="22"/>
          <w:szCs w:val="22"/>
        </w:rPr>
        <w:t xml:space="preserve">Assessment records. </w:t>
      </w:r>
      <w:r>
        <w:rPr>
          <w:rFonts w:ascii="Aptos" w:cs="Aptos" w:eastAsia="Aptos" w:hAnsi="Aptos"/>
          <w:color w:val="000000"/>
          <w:sz w:val="22"/>
          <w:szCs w:val="22"/>
        </w:rPr>
        <w:t xml:space="preserve">Findings from any general assessment are attributed to teams, never to individuals, as in the 2023–2024 record.</w:t>
      </w:r>
    </w:p>
    <w:p>
      <w:pPr>
        <w:pStyle w:val="ListParagraph"/>
        <w:numPr>
          <w:ilvl w:val="0"/>
          <w:numId w:val="2"/>
        </w:numPr>
        <w:spacing w:after="80" w:line="282"/>
      </w:pPr>
      <w:r>
        <w:rPr>
          <w:rFonts w:ascii="Aptos" w:cs="Aptos" w:eastAsia="Aptos" w:hAnsi="Aptos"/>
          <w:b/>
          <w:bCs/>
          <w:color w:val="000000"/>
          <w:sz w:val="22"/>
          <w:szCs w:val="22"/>
        </w:rPr>
        <w:t xml:space="preserve">Voice. </w:t>
      </w:r>
      <w:r>
        <w:rPr>
          <w:rFonts w:ascii="Aptos" w:cs="Aptos" w:eastAsia="Aptos" w:hAnsi="Aptos"/>
          <w:color w:val="000000"/>
          <w:sz w:val="22"/>
          <w:szCs w:val="22"/>
        </w:rPr>
        <w:t xml:space="preserve">Anything published to staff passes the staff voice standard and, once adopted, the Equity Lens Rubric.</w:t>
      </w:r>
    </w:p>
    <w:p>
      <w:pPr>
        <w:pStyle w:val="ListParagraph"/>
        <w:numPr>
          <w:ilvl w:val="0"/>
          <w:numId w:val="2"/>
        </w:numPr>
        <w:spacing w:after="80" w:line="282"/>
      </w:pPr>
      <w:r>
        <w:rPr>
          <w:rFonts w:ascii="Aptos" w:cs="Aptos" w:eastAsia="Aptos" w:hAnsi="Aptos"/>
          <w:b/>
          <w:bCs/>
          <w:color w:val="000000"/>
          <w:sz w:val="22"/>
          <w:szCs w:val="22"/>
        </w:rPr>
        <w:t xml:space="preserve">Retention. </w:t>
      </w:r>
      <w:r>
        <w:rPr>
          <w:rFonts w:ascii="Aptos" w:cs="Aptos" w:eastAsia="Aptos" w:hAnsi="Aptos"/>
          <w:color w:val="000000"/>
          <w:sz w:val="22"/>
          <w:szCs w:val="22"/>
        </w:rPr>
        <w:t xml:space="preserve">Follows the retention decision for consultation and staff-result records, made before intake opens.</w:t>
      </w:r>
    </w:p>
    <w:p>
      <w:pPr>
        <w:pStyle w:val="ListParagraph"/>
        <w:numPr>
          <w:ilvl w:val="0"/>
          <w:numId w:val="2"/>
        </w:numPr>
        <w:spacing w:after="80" w:line="282"/>
      </w:pPr>
      <w:r>
        <w:rPr>
          <w:rFonts w:ascii="Aptos" w:cs="Aptos" w:eastAsia="Aptos" w:hAnsi="Aptos"/>
          <w:b/>
          <w:bCs/>
          <w:color w:val="000000"/>
          <w:sz w:val="22"/>
          <w:szCs w:val="22"/>
        </w:rPr>
        <w:t xml:space="preserve">Native American communities and Tribal Nations. </w:t>
      </w:r>
      <w:r>
        <w:rPr>
          <w:rFonts w:ascii="Aptos" w:cs="Aptos" w:eastAsia="Aptos" w:hAnsi="Aptos"/>
          <w:color w:val="000000"/>
          <w:sz w:val="22"/>
          <w:szCs w:val="22"/>
        </w:rPr>
        <w:t xml:space="preserve">Any item concerning them is recorded as deferred to the Office of Indian Affairs and the Department offices that handle Tribal relations and consultation.</w:t>
      </w:r>
    </w:p>
    <w:p>
      <w:pPr>
        <w:pStyle w:val="Heading1"/>
        <w:pBdr>
          <w:bottom w:val="single" w:color="003865" w:sz="6" w:space="6"/>
        </w:pBdr>
        <w:spacing w:after="180" w:before="400"/>
      </w:pPr>
      <w:r>
        <w:rPr>
          <w:rFonts w:ascii="Aptos" w:cs="Aptos" w:eastAsia="Aptos" w:hAnsi="Aptos"/>
          <w:b/>
          <w:bCs/>
          <w:color w:val="003865"/>
          <w:sz w:val="26"/>
          <w:szCs w:val="26"/>
        </w:rPr>
        <w:t xml:space="preserve">8. Templates</w:t>
      </w:r>
    </w:p>
    <w:p>
      <w:pPr>
        <w:pStyle w:val="Heading2"/>
        <w:spacing w:after="110" w:before="300"/>
      </w:pPr>
      <w:r>
        <w:rPr>
          <w:rFonts w:ascii="Aptos" w:cs="Aptos" w:eastAsia="Aptos" w:hAnsi="Aptos"/>
          <w:b/>
          <w:bCs/>
          <w:color w:val="003865"/>
          <w:sz w:val="23"/>
          <w:szCs w:val="23"/>
        </w:rPr>
        <w:t xml:space="preserve">Monthly update, one page</w:t>
      </w:r>
    </w:p>
    <w:p>
      <w:pPr>
        <w:pStyle w:val="ListParagraph"/>
        <w:numPr>
          <w:ilvl w:val="0"/>
          <w:numId w:val="2"/>
        </w:numPr>
        <w:spacing w:after="80" w:line="282"/>
      </w:pPr>
      <w:r>
        <w:rPr>
          <w:rFonts w:ascii="Aptos" w:cs="Aptos" w:eastAsia="Aptos" w:hAnsi="Aptos"/>
          <w:color w:val="000000"/>
          <w:sz w:val="22"/>
          <w:szCs w:val="22"/>
        </w:rPr>
        <w:t xml:space="preserve">Done: outcomes reached this month, with the evidence.</w:t>
      </w:r>
    </w:p>
    <w:p>
      <w:pPr>
        <w:pStyle w:val="ListParagraph"/>
        <w:numPr>
          <w:ilvl w:val="0"/>
          <w:numId w:val="2"/>
        </w:numPr>
        <w:spacing w:after="80" w:line="282"/>
      </w:pPr>
      <w:r>
        <w:rPr>
          <w:rFonts w:ascii="Aptos" w:cs="Aptos" w:eastAsia="Aptos" w:hAnsi="Aptos"/>
          <w:color w:val="000000"/>
          <w:sz w:val="22"/>
          <w:szCs w:val="22"/>
        </w:rPr>
        <w:t xml:space="preserve">Next: what is planned for the coming month, by workstream.</w:t>
      </w:r>
    </w:p>
    <w:p>
      <w:pPr>
        <w:pStyle w:val="ListParagraph"/>
        <w:numPr>
          <w:ilvl w:val="0"/>
          <w:numId w:val="2"/>
        </w:numPr>
        <w:spacing w:after="80" w:line="282"/>
      </w:pPr>
      <w:r>
        <w:rPr>
          <w:rFonts w:ascii="Aptos" w:cs="Aptos" w:eastAsia="Aptos" w:hAnsi="Aptos"/>
          <w:color w:val="000000"/>
          <w:sz w:val="22"/>
          <w:szCs w:val="22"/>
        </w:rPr>
        <w:t xml:space="preserve">Blocked: barriers, since when, what has been tried.</w:t>
      </w:r>
    </w:p>
    <w:p>
      <w:pPr>
        <w:pStyle w:val="ListParagraph"/>
        <w:numPr>
          <w:ilvl w:val="0"/>
          <w:numId w:val="2"/>
        </w:numPr>
        <w:spacing w:after="80" w:line="282"/>
      </w:pPr>
      <w:r>
        <w:rPr>
          <w:rFonts w:ascii="Aptos" w:cs="Aptos" w:eastAsia="Aptos" w:hAnsi="Aptos"/>
          <w:color w:val="000000"/>
          <w:sz w:val="22"/>
          <w:szCs w:val="22"/>
        </w:rPr>
        <w:t xml:space="preserve">Decisions needed: from the log, with owner and date.</w:t>
      </w:r>
    </w:p>
    <w:p>
      <w:pPr>
        <w:pStyle w:val="ListParagraph"/>
        <w:numPr>
          <w:ilvl w:val="0"/>
          <w:numId w:val="2"/>
        </w:numPr>
        <w:spacing w:after="80" w:line="282"/>
      </w:pPr>
      <w:r>
        <w:rPr>
          <w:rFonts w:ascii="Aptos" w:cs="Aptos" w:eastAsia="Aptos" w:hAnsi="Aptos"/>
          <w:color w:val="000000"/>
          <w:sz w:val="22"/>
          <w:szCs w:val="22"/>
        </w:rPr>
        <w:t xml:space="preserve">Measures: the two or three numbers that moved, and the release note.</w:t>
      </w:r>
    </w:p>
    <w:p>
      <w:pPr>
        <w:pStyle w:val="Heading2"/>
        <w:spacing w:after="110" w:before="300"/>
      </w:pPr>
      <w:r>
        <w:rPr>
          <w:rFonts w:ascii="Aptos" w:cs="Aptos" w:eastAsia="Aptos" w:hAnsi="Aptos"/>
          <w:b/>
          <w:bCs/>
          <w:color w:val="003865"/>
          <w:sz w:val="23"/>
          <w:szCs w:val="23"/>
        </w:rPr>
        <w:t xml:space="preserve">Quarterly report</w:t>
      </w:r>
    </w:p>
    <w:p>
      <w:pPr>
        <w:pStyle w:val="ListParagraph"/>
        <w:numPr>
          <w:ilvl w:val="0"/>
          <w:numId w:val="2"/>
        </w:numPr>
        <w:spacing w:after="80" w:line="282"/>
      </w:pPr>
      <w:r>
        <w:rPr>
          <w:rFonts w:ascii="Aptos" w:cs="Aptos" w:eastAsia="Aptos" w:hAnsi="Aptos"/>
          <w:color w:val="000000"/>
          <w:sz w:val="22"/>
          <w:szCs w:val="22"/>
        </w:rPr>
        <w:t xml:space="preserve">Summary: three sentences on the quarter.</w:t>
      </w:r>
    </w:p>
    <w:p>
      <w:pPr>
        <w:pStyle w:val="ListParagraph"/>
        <w:numPr>
          <w:ilvl w:val="0"/>
          <w:numId w:val="2"/>
        </w:numPr>
        <w:spacing w:after="80" w:line="282"/>
      </w:pPr>
      <w:r>
        <w:rPr>
          <w:rFonts w:ascii="Aptos" w:cs="Aptos" w:eastAsia="Aptos" w:hAnsi="Aptos"/>
          <w:color w:val="000000"/>
          <w:sz w:val="22"/>
          <w:szCs w:val="22"/>
        </w:rPr>
        <w:t xml:space="preserve">Workstreams: target, status, what was delivered, what slipped and why.</w:t>
      </w:r>
    </w:p>
    <w:p>
      <w:pPr>
        <w:pStyle w:val="ListParagraph"/>
        <w:numPr>
          <w:ilvl w:val="0"/>
          <w:numId w:val="2"/>
        </w:numPr>
        <w:spacing w:after="80" w:line="282"/>
      </w:pPr>
      <w:r>
        <w:rPr>
          <w:rFonts w:ascii="Aptos" w:cs="Aptos" w:eastAsia="Aptos" w:hAnsi="Aptos"/>
          <w:color w:val="000000"/>
          <w:sz w:val="22"/>
          <w:szCs w:val="22"/>
        </w:rPr>
        <w:t xml:space="preserve">Measures: section 4, with the prior quarter beside it.</w:t>
      </w:r>
    </w:p>
    <w:p>
      <w:pPr>
        <w:pStyle w:val="ListParagraph"/>
        <w:numPr>
          <w:ilvl w:val="0"/>
          <w:numId w:val="2"/>
        </w:numPr>
        <w:spacing w:after="80" w:line="282"/>
      </w:pPr>
      <w:r>
        <w:rPr>
          <w:rFonts w:ascii="Aptos" w:cs="Aptos" w:eastAsia="Aptos" w:hAnsi="Aptos"/>
          <w:color w:val="000000"/>
          <w:sz w:val="22"/>
          <w:szCs w:val="22"/>
        </w:rPr>
        <w:t xml:space="preserve">Gate checks: which passed, with the verification; which did not, and the plan.</w:t>
      </w:r>
    </w:p>
    <w:p>
      <w:pPr>
        <w:pStyle w:val="ListParagraph"/>
        <w:numPr>
          <w:ilvl w:val="0"/>
          <w:numId w:val="2"/>
        </w:numPr>
        <w:spacing w:after="80" w:line="282"/>
      </w:pPr>
      <w:r>
        <w:rPr>
          <w:rFonts w:ascii="Aptos" w:cs="Aptos" w:eastAsia="Aptos" w:hAnsi="Aptos"/>
          <w:color w:val="000000"/>
          <w:sz w:val="22"/>
          <w:szCs w:val="22"/>
        </w:rPr>
        <w:t xml:space="preserve">Support: delivered, outstanding, declined.</w:t>
      </w:r>
    </w:p>
    <w:p>
      <w:pPr>
        <w:pStyle w:val="ListParagraph"/>
        <w:numPr>
          <w:ilvl w:val="0"/>
          <w:numId w:val="2"/>
        </w:numPr>
        <w:spacing w:after="80" w:line="282"/>
      </w:pPr>
      <w:r>
        <w:rPr>
          <w:rFonts w:ascii="Aptos" w:cs="Aptos" w:eastAsia="Aptos" w:hAnsi="Aptos"/>
          <w:color w:val="000000"/>
          <w:sz w:val="22"/>
          <w:szCs w:val="22"/>
        </w:rPr>
        <w:t xml:space="preserve">Correction plans: any triggered, with owners and dates.</w:t>
      </w:r>
    </w:p>
    <w:p>
      <w:pPr>
        <w:pStyle w:val="ListParagraph"/>
        <w:numPr>
          <w:ilvl w:val="0"/>
          <w:numId w:val="2"/>
        </w:numPr>
        <w:spacing w:after="80" w:line="282"/>
      </w:pPr>
      <w:r>
        <w:rPr>
          <w:rFonts w:ascii="Aptos" w:cs="Aptos" w:eastAsia="Aptos" w:hAnsi="Aptos"/>
          <w:color w:val="000000"/>
          <w:sz w:val="22"/>
          <w:szCs w:val="22"/>
        </w:rPr>
        <w:t xml:space="preserve">Next quarter: priorities and the decisions they depend on.</w:t>
      </w:r>
    </w:p>
    <w:p>
      <w:pPr>
        <w:pStyle w:val="Heading2"/>
        <w:spacing w:after="110" w:before="300"/>
      </w:pPr>
      <w:r>
        <w:rPr>
          <w:rFonts w:ascii="Aptos" w:cs="Aptos" w:eastAsia="Aptos" w:hAnsi="Aptos"/>
          <w:b/>
          <w:bCs/>
          <w:color w:val="003865"/>
          <w:sz w:val="23"/>
          <w:szCs w:val="23"/>
        </w:rPr>
        <w:t xml:space="preserve">Work-item record</w:t>
      </w:r>
    </w:p>
    <w:p>
      <w:pPr>
        <w:pStyle w:val="ListParagraph"/>
        <w:numPr>
          <w:ilvl w:val="0"/>
          <w:numId w:val="2"/>
        </w:numPr>
        <w:spacing w:after="80" w:line="282"/>
      </w:pPr>
      <w:r>
        <w:rPr>
          <w:rFonts w:ascii="Aptos" w:cs="Aptos" w:eastAsia="Aptos" w:hAnsi="Aptos"/>
          <w:color w:val="000000"/>
          <w:sz w:val="22"/>
          <w:szCs w:val="22"/>
        </w:rPr>
        <w:t xml:space="preserve">Title · workstream · decision owner · intended outcome · start · target · status · evidence when done · what changed for whom.</w:t>
      </w:r>
    </w:p>
    <w:p>
      <w:pPr>
        <w:pStyle w:val="Heading2"/>
        <w:spacing w:after="110" w:before="300"/>
      </w:pPr>
      <w:r>
        <w:rPr>
          <w:rFonts w:ascii="Aptos" w:cs="Aptos" w:eastAsia="Aptos" w:hAnsi="Aptos"/>
          <w:b/>
          <w:bCs/>
          <w:color w:val="003865"/>
          <w:sz w:val="23"/>
          <w:szCs w:val="23"/>
        </w:rPr>
        <w:t xml:space="preserve">Barrier entry</w:t>
      </w:r>
    </w:p>
    <w:p>
      <w:pPr>
        <w:pStyle w:val="ListParagraph"/>
        <w:numPr>
          <w:ilvl w:val="0"/>
          <w:numId w:val="2"/>
        </w:numPr>
        <w:spacing w:after="80" w:line="282"/>
      </w:pPr>
      <w:r>
        <w:rPr>
          <w:rFonts w:ascii="Aptos" w:cs="Aptos" w:eastAsia="Aptos" w:hAnsi="Aptos"/>
          <w:color w:val="000000"/>
          <w:sz w:val="22"/>
          <w:szCs w:val="22"/>
        </w:rPr>
        <w:t xml:space="preserve">What is blocked · since when · what I have tried · what would unblock it · who can provide it · raised on.</w:t>
      </w:r>
    </w:p>
    <w:p>
      <w:pPr>
        <w:pStyle w:val="Heading1"/>
        <w:pBdr>
          <w:bottom w:val="single" w:color="003865" w:sz="6" w:space="6"/>
        </w:pBdr>
        <w:spacing w:after="180" w:before="400"/>
      </w:pPr>
      <w:r>
        <w:rPr>
          <w:rFonts w:ascii="Aptos" w:cs="Aptos" w:eastAsia="Aptos" w:hAnsi="Aptos"/>
          <w:b/>
          <w:bCs/>
          <w:color w:val="003865"/>
          <w:sz w:val="26"/>
          <w:szCs w:val="26"/>
        </w:rPr>
        <w:t xml:space="preserve">9. Calendar, October 2026 to June 2027</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2200"/>
        <w:gridCol w:w="7160"/>
      </w:tblGrid>
      <w:tr>
        <w:trPr>
          <w:tblHeader/>
        </w:trPr>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When</w:t>
            </w:r>
          </w:p>
        </w:tc>
        <w:tc>
          <w:tcPr>
            <w:tcW w:type="dxa" w:w="71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October 2026</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Reporting process starts. First monthly update October 1. Check-ins every two weeks. Unit organizational maps requested from the managers.</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November 2026</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Monthly update. Organizational maps confirmed. First One DSD Team work item sponsored. Governance charters with Heidi Hamilton for decision.</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December 2026</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Monthly update. Report on whether the Program is ready to open, and the proposed January date.</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January 2027</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Division-wide launch, after the election, with the date confirmed with colleagues first. First One DSD Team meeting. Quarterly report for Q4 2026.</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February–March 2027</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Monthly updates. Councils seated; gate checks One-A to One-C. Climate survey in the field. Working-group charters. Next general assessment prepared.</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April 2027</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Quarterly report for January–March: launch evidence, gate checks, first measures.</w:t>
            </w:r>
          </w:p>
        </w:tc>
      </w:tr>
      <w:tr>
        <w:tc>
          <w:tcPr>
            <w:tcW w:type="dxa" w:w="22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May–June 2027</w:t>
            </w:r>
          </w:p>
        </w:tc>
        <w:tc>
          <w:tcPr>
            <w:tcW w:type="dxa" w:w="71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Monthly updates. Barrier analysis to the Executive Council. Multi-year plan approved. Quarterly report for April–June in July.</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10. From reconstruction to tracked work</w:t>
      </w:r>
    </w:p>
    <w:p>
      <w:pPr>
        <w:spacing w:after="160" w:line="288"/>
      </w:pPr>
      <w:r>
        <w:rPr>
          <w:rFonts w:ascii="Aptos" w:cs="Aptos" w:eastAsia="Aptos" w:hAnsi="Aptos"/>
          <w:color w:val="000000"/>
          <w:sz w:val="22"/>
          <w:szCs w:val="22"/>
        </w:rPr>
        <w:t xml:space="preserve">The memo on how the Program came to be is the baseline, and the evidence record and analysis behind it establish where the Program came from. From October 1, 2026, the workplan is updated as the work happens, the decision log carries every ask, and the monthly update and quarterly report replace reconstruction.</w:t>
      </w:r>
    </w:p>
    <w:p>
      <w:pPr>
        <w:spacing w:after="160" w:line="288"/>
      </w:pPr>
      <w:r>
        <w:rPr>
          <w:rFonts w:ascii="Aptos" w:cs="Aptos" w:eastAsia="Aptos" w:hAnsi="Aptos"/>
          <w:color w:val="000000"/>
          <w:sz w:val="22"/>
          <w:szCs w:val="22"/>
        </w:rPr>
        <w:t xml:space="preserve">This is a draft for our meeting next week. I would like to agree the cadence, the measures and the escalation path with you, and then run it from October 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Reporting process  ·  One DSD People, Access and Culture Program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process for the One DSD People, Access and Culture Program</dc:title>
  <dc:creator>Gary Banks</dc:creator>
  <cp:lastModifiedBy>Un-named</cp:lastModifiedBy>
  <cp:revision>1</cp:revision>
  <dcterms:created xsi:type="dcterms:W3CDTF">2026-09-18T13:16:29.657Z</dcterms:created>
  <dcterms:modified xsi:type="dcterms:W3CDTF">2026-09-18T13:16:29.658Z</dcterms:modified>
</cp:coreProperties>
</file>

<file path=docProps/custom.xml><?xml version="1.0" encoding="utf-8"?>
<Properties xmlns="http://schemas.openxmlformats.org/officeDocument/2006/custom-properties" xmlns:vt="http://schemas.openxmlformats.org/officeDocument/2006/docPropsVTypes"/>
</file>