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="360" w:lineRule="auto"/>
        <w:jc w:val="center"/>
        <w:rPr>
          <w:rFonts w:ascii="Calibri" w:cs="Calibri" w:eastAsia="Calibri" w:hAnsi="Calibri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Definition of Done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considerar que una Historia de Usuario o una tarea dentro del Sprint 5 (Validación y Piloto) de DocuFlow está completamente finalizada, se deben cumplir rigurosamente los siguientes criterios, adaptados al contexto de la migración a Oracle Cloud y la ejecución del Caso Piloto: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4otcdd12k7vu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Infraestructura y Despliegue (Nuevo Entorno)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Entorno Productivo Validado: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está desplegado y operativo en la instancia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Oracle Cloud (OCI)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base de datos PostgreSQL ha sido migrada exitosamente y los datos persisten correctamente en OCI.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certificado SSL está activo y la conexión es segura (HTTPS).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Pruebas de Carga y Estabilidad: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ha verificado que el servidor soporta la carga de archivos y la concurrencia esperada para el piloto sin generar errores de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timeout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caídas (502 Bad Gateway).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ik0jcy21vrzv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Calidad del Código y Pruebas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Código Revisado y Limpio: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código de las nuevas configuraciones de despliegue y ajustes del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 sido revisado por al menos un miembro del equipo.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existen errores críticos en los logs del servidor de producción.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Pruebas de Aceptación (Piloto):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ha confirmado que los flujos críticos (Carga de Documentos, Aprobación, Barra de Avance) funcionan correctamente en el entorno de producción con usuarios reales.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han corregido los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bugs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críticos reportados durante las primeras sesiones del piloto (ej. latencia en subida de archivos).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5odzg23aui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pfdjectrohz4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Validación y Aprobación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Ejecución del Caso Piloto: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ha sido utilizado por los usuarios definidos (Estudiantes/Profesores) durante el periodo de prueba.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han recopilado las encuestas de satisfacción y feedback de los usuarios piloto.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Demostración y Cierre: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funcionalidad y estabilidad del sistema en Oracle Cloud han sido demostradas al equipo y al Docente Guía.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ha validado que el sistema cumple con los requisitos para ser presentado en la defensa final (Sprint 6).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Código Integrado: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hotfixes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ajustes realizados durante el piloto en el entorno de producción se han integrado correctamente en la rama principal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del repositorio.</w:t>
      </w:r>
    </w:p>
    <w:p w:rsidR="00000000" w:rsidDel="00000000" w:rsidP="00000000" w:rsidRDefault="00000000" w:rsidRPr="00000000" w14:paraId="0000001B">
      <w:pPr>
        <w:spacing w:after="0" w:before="240" w:line="36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IBsPyDPWER8OGn7HhQXBDwccyw==">CgMxLjAyCGguZ2pkZ3hzMg5oLjRvdGNkZDEyazd2dTIOaC5pazBqY3kyMXZyenYyDWguNW9kemcyM2F1aW0yDmgucGZkamVjdHJvaHo0OAByITFFZkxraWNlYThxVjBBbWVyWnpVTDF4ZlJRaWpXZ1B2dg==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