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59" w:lineRule="auto"/>
        <w:rPr>
          <w:rFonts w:ascii="Calibri" w:cs="Calibri" w:eastAsia="Calibri" w:hAnsi="Calibri"/>
        </w:rPr>
      </w:pPr>
      <w:bookmarkStart w:colFirst="0" w:colLast="0" w:name="_heading=h.hyl6tnjm60jg" w:id="0"/>
      <w:bookmarkEnd w:id="0"/>
      <w:r w:rsidDel="00000000" w:rsidR="00000000" w:rsidRPr="00000000">
        <w:rPr>
          <w:rFonts w:ascii="Calibri" w:cs="Calibri" w:eastAsia="Calibri" w:hAnsi="Calibri"/>
          <w:b w:val="1"/>
          <w:bCs w:val="1"/>
          <w:sz w:val="72"/>
          <w:szCs w:val="72"/>
          <w:rtl w:val="0"/>
        </w:rPr>
        <w:t xml:space="preserve">Sprint review 11/11</w:t>
      </w:r>
      <w:r w:rsidDel="00000000" w:rsidR="00000000" w:rsidRPr="00000000">
        <w:rPr>
          <w:rtl w:val="0"/>
        </w:rPr>
      </w:r>
    </w:p>
    <w:p w:rsidR="00000000" w:rsidDel="00000000" w:rsidP="00000000" w:rsidRDefault="00000000" w:rsidRPr="00000000" w14:paraId="00000002">
      <w:pPr>
        <w:pStyle w:val="Heading1"/>
        <w:spacing w:after="0" w:before="240" w:line="259" w:lineRule="auto"/>
        <w:rPr/>
      </w:pPr>
      <w:bookmarkStart w:colFirst="0" w:colLast="0" w:name="_heading=h.oasxwzuxkn9i" w:id="1"/>
      <w:bookmarkEnd w:id="1"/>
      <w:r w:rsidDel="00000000" w:rsidR="00000000" w:rsidRPr="00000000">
        <w:rPr>
          <w:rFonts w:ascii="Calibri" w:cs="Calibri" w:eastAsia="Calibri" w:hAnsi="Calibri"/>
          <w:b w:val="1"/>
          <w:bCs w:val="1"/>
          <w:sz w:val="32"/>
          <w:szCs w:val="32"/>
          <w:rtl w:val="0"/>
        </w:rPr>
        <w:t xml:space="preserve">CheckList de historias de usuario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280"/>
        <w:tblGridChange w:id="0">
          <w:tblGrid>
            <w:gridCol w:w="6720"/>
            <w:gridCol w:w="22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 Migración y Despliegue de Infraestructura en Oracle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ser accesible públicamente a través de una URL segura (HTTPS) configurada en Oracle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PostgreSQL debe migrar todos los datos de estructura y usuarios al nuevo entorno en OCI sin pérdida de integridad.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almacenamiento de archivos (Bucket) debe estar conectado y permitir la persistencia de documentos subidos.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servidor debe soportar las peticiones concurrentes sin presentar los errores de Gateway que ocurrían en la infraestructura anterior.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280"/>
        <w:tblGridChange w:id="0">
          <w:tblGrid>
            <w:gridCol w:w="6720"/>
            <w:gridCol w:w="22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 Ejecución del Caso Piloto en Entorno Real (RF14)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usuarios seleccionados (Roles: Estudiante y Profesor) deben poder iniciar sesión con sus credenciales en el entorno de producción.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"Estudiante" debe poder cargar un documento y asociarlo correctamente a una fase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"Profesor" debe recibir la notificación y poder acceder al documento para su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 "Aprobar Documento" debe actualizar automáticamente la Barra de Avance Documental del proyecto en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permitir la descarga de los documentos aprobados con su formato estandarizado.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deben recopilar métricas de uso y encuestas de satisfacción de los participantes al finalizar la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bl>
    <w:p w:rsidR="00000000" w:rsidDel="00000000" w:rsidP="00000000" w:rsidRDefault="00000000" w:rsidRPr="00000000" w14:paraId="0000001E">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280"/>
        <w:tblGridChange w:id="0">
          <w:tblGrid>
            <w:gridCol w:w="6720"/>
            <w:gridCol w:w="22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 Estabilización y Corrección de Errores (Hotfixes)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debe solucionar la latencia detectada en la subida de archivos grandes (&gt;10MB) reportada durante el inicio del piloto.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debe visualizarse correctamente (diseño responsive) en los dispositivos utilizados por los usuarios piloto.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r>
    </w:tbl>
    <w:p w:rsidR="00000000" w:rsidDel="00000000" w:rsidP="00000000" w:rsidRDefault="00000000" w:rsidRPr="00000000" w14:paraId="00000025">
      <w:pPr>
        <w:pStyle w:val="Heading1"/>
        <w:spacing w:line="360" w:lineRule="auto"/>
        <w:rPr/>
      </w:pPr>
      <w:bookmarkStart w:colFirst="0" w:colLast="0" w:name="_heading=h.jqnk9u510094" w:id="2"/>
      <w:bookmarkEnd w:id="2"/>
      <w:r w:rsidDel="00000000" w:rsidR="00000000" w:rsidRPr="00000000">
        <w:rPr>
          <w:rtl w:val="0"/>
        </w:rPr>
        <w:t xml:space="preserve">Feedback del usuario</w:t>
      </w:r>
    </w:p>
    <w:p w:rsidR="00000000" w:rsidDel="00000000" w:rsidP="00000000" w:rsidRDefault="00000000" w:rsidRPr="00000000" w14:paraId="0000002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usuarios del piloto se mostraron conformes con la usabilidad, destacando la utilidad de la barra de avance. El equipo técnico validó exitosamente la estabilidad de la nueva infraestructura en Oracle Cloud.</w:t>
      </w:r>
    </w:p>
    <w:p w:rsidR="00000000" w:rsidDel="00000000" w:rsidP="00000000" w:rsidRDefault="00000000" w:rsidRPr="00000000" w14:paraId="00000027">
      <w:pPr>
        <w:pStyle w:val="Heading1"/>
        <w:spacing w:line="360" w:lineRule="auto"/>
        <w:rPr/>
      </w:pPr>
      <w:bookmarkStart w:colFirst="0" w:colLast="0" w:name="_heading=h.xe5wue22qybi" w:id="3"/>
      <w:bookmarkEnd w:id="3"/>
      <w:r w:rsidDel="00000000" w:rsidR="00000000" w:rsidRPr="00000000">
        <w:rPr>
          <w:rtl w:val="0"/>
        </w:rPr>
        <w:t xml:space="preserve">Actualización del Backlog</w:t>
      </w:r>
    </w:p>
    <w:p w:rsidR="00000000" w:rsidDel="00000000" w:rsidP="00000000" w:rsidRDefault="00000000" w:rsidRPr="00000000" w14:paraId="0000002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han concluido satisfactoriamente todas las historias funcionales y de infraestructura comprometidas durante el Sprint. El Product Backlog de desarrollo ha sido completado al 100%, quedando pendientes únicamente las tareas administrativas y de documentación final para el Sprint 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HH28lfaK7Z00hR6ocxcgS5hww==">CgMxLjAyDmguaHlsNnRuam02MGpnMg5oLm9hc3h3enV4a245aTIOaC5qcW5rOXU1MTAwOTQyDmgueGU1d3VlMjJxeWJpOAByITFadWtQeHRLVndQME45a3p6aDF0eVVJNU5UQ2RzSjFpTQ==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