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heading=h.sd4srk1vtway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Burndown Chart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426016" cy="47281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6016" cy="472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Qdx1TaEyRRG8xbKy4/vWLZQ4A==">CgMxLjAyDmguc2Q0c3JrMXZ0d2F5OAByITF0QVdhQjlRd3JReGJaWHBqYVRQWEw0NXZpVWp0SHlOQQ==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