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/>
          <w:b/>
          <w:color w:val="17365D"/>
          <w:sz w:val="50"/>
        </w:rPr>
        <w:t>Cleva Global Regulatory Library</w:t>
      </w:r>
    </w:p>
    <w:p>
      <w:pPr>
        <w:jc w:val="center"/>
      </w:pPr>
      <w:r>
        <w:rPr>
          <w:b/>
          <w:color w:val="1F4E78"/>
          <w:sz w:val="36"/>
        </w:rPr>
        <w:t>科瓴全球法规实时搜索与人工审核知识库</w:t>
      </w:r>
    </w:p>
    <w:p>
      <w:pPr>
        <w:jc w:val="center"/>
      </w:pPr>
      <w:r>
        <w:rPr>
          <w:sz w:val="28"/>
        </w:rPr>
        <w:br/>
        <w:t>MVP实施说明与运行指南</w:t>
        <w:br/>
      </w:r>
      <w:r>
        <w:rPr>
          <w:sz w:val="20"/>
        </w:rPr>
        <w:t>版本：V0.1  |  日期：2026-07-14</w:t>
      </w:r>
    </w:p>
    <w:p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项目目标</w:t>
            </w:r>
          </w:p>
        </w:tc>
        <w:tc>
          <w:tcPr>
            <w:tcW w:type="dxa" w:w="4986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实时发现欧美英加与Cleva产品相关的官方法规，并通过人工审核形成可追溯知识库</w:t>
            </w:r>
          </w:p>
        </w:tc>
      </w:tr>
      <w:tr>
        <w:tc>
          <w:tcPr>
            <w:tcW w:type="dxa" w:w="4986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第一阶段</w:t>
            </w:r>
          </w:p>
        </w:tc>
        <w:tc>
          <w:tcPr>
            <w:tcW w:type="dxa" w:w="4986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全球法规知识库、实时搜索、候选审核、正式入库、Excel/Word导出</w:t>
            </w:r>
          </w:p>
        </w:tc>
      </w:tr>
      <w:tr>
        <w:tc>
          <w:tcPr>
            <w:tcW w:type="dxa" w:w="4986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默认模型</w:t>
            </w:r>
          </w:p>
        </w:tc>
        <w:tc>
          <w:tcPr>
            <w:tcW w:type="dxa" w:w="4986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DeepSeek；OpenAI为可选项，并非必须</w:t>
            </w:r>
          </w:p>
        </w:tc>
      </w:tr>
      <w:tr>
        <w:tc>
          <w:tcPr>
            <w:tcW w:type="dxa" w:w="4986"/>
            <w:shd w:fill="D9EAF7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sz w:val="18"/>
              </w:rPr>
              <w:t>核心原则</w:t>
            </w:r>
          </w:p>
        </w:tc>
        <w:tc>
          <w:tcPr>
            <w:tcW w:type="dxa" w:w="4986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搜索与大模型解耦，AI不直接批准法规，官方原文链接始终保留</w:t>
            </w:r>
          </w:p>
        </w:tc>
      </w:tr>
    </w:tbl>
    <w:p>
      <w:pPr>
        <w:jc w:val="center"/>
      </w:pPr>
      <w:r>
        <w:rPr>
          <w:b/>
        </w:rPr>
        <w:br/>
        <w:t>交付物</w:t>
      </w:r>
    </w:p>
    <w:p>
      <w:pPr>
        <w:pStyle w:val="ListBullet"/>
        <w:jc w:val="center"/>
      </w:pPr>
      <w:r>
        <w:t>可运行的Streamlit MVP源码</w:t>
      </w:r>
    </w:p>
    <w:p>
      <w:pPr>
        <w:pStyle w:val="ListBullet"/>
        <w:jc w:val="center"/>
      </w:pPr>
      <w:r>
        <w:t>法规知识库Excel模板</w:t>
      </w:r>
    </w:p>
    <w:p>
      <w:pPr>
        <w:pStyle w:val="ListBullet"/>
        <w:jc w:val="center"/>
      </w:pPr>
      <w:r>
        <w:t>本实施说明文档</w:t>
      </w:r>
    </w:p>
    <w:p>
      <w:r>
        <w:br w:type="page"/>
      </w:r>
    </w:p>
    <w:p>
      <w:pPr>
        <w:pStyle w:val="Heading1"/>
      </w:pPr>
      <w:r>
        <w:t>1. 结论：不一定需要OpenAI API</w:t>
      </w:r>
    </w:p>
    <w:p>
      <w:r>
        <w:rPr>
          <w:b/>
        </w:rPr>
        <w:t>本项目可以完全采用DeepSeek。</w:t>
      </w:r>
      <w:r>
        <w:t>法规网站访问、网页搜索和PDF下载应由Python后端、官方API或搜索API完成；DeepSeek只负责阅读已经抓取的文本、生成中文摘要、识别法规类型并输出结构化字段。</w:t>
      </w:r>
    </w:p>
    <w:p>
      <w:pPr>
        <w:pStyle w:val="ListBullet"/>
      </w:pPr>
      <w:r>
        <w:t>使用DeepSeek API时，不需要购买或调用OpenAI服务。</w:t>
      </w:r>
    </w:p>
    <w:p>
      <w:pPr>
        <w:pStyle w:val="ListBullet"/>
      </w:pPr>
      <w:r>
        <w:t>源码使用OpenAI兼容的Python客户端连接DeepSeek，仅仅是复用客户端协议；请求地址指向DeepSeek。</w:t>
      </w:r>
    </w:p>
    <w:p>
      <w:pPr>
        <w:pStyle w:val="ListBullet"/>
      </w:pPr>
      <w:r>
        <w:t>DeepSeek支持工具调用，可以让模型决定何时调用自建搜索或网页抓取函数，但实际访问网页的仍然是后端工具。</w:t>
      </w:r>
    </w:p>
    <w:p>
      <w:pPr>
        <w:pStyle w:val="ListBullet"/>
      </w:pPr>
      <w:r>
        <w:t>部分DeepSeek集成环境具有网络搜索能力，但企业系统不应依赖聊天产品的搜索按钮，应把搜索能力掌握在自己的后端。</w:t>
      </w:r>
    </w:p>
    <w:p>
      <w:r>
        <w:rPr>
          <w:b/>
        </w:rPr>
        <w:t>最推荐的架构：</w:t>
      </w:r>
      <w:r>
        <w:t xml:space="preserve"> Search API / 官方API / 爬虫 → 页面与PDF正文 → DeepSeek结构化分析 → 人工审核 → 数据库。</w:t>
      </w:r>
    </w:p>
    <w:p>
      <w:pPr>
        <w:pStyle w:val="Heading1"/>
      </w:pPr>
      <w:r>
        <w:t>2. MVP系统架构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324"/>
            <w:shd w:fill="17365D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组件</w:t>
            </w:r>
          </w:p>
        </w:tc>
        <w:tc>
          <w:tcPr>
            <w:tcW w:type="dxa" w:w="3324"/>
            <w:shd w:fill="17365D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用户界面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Streamlit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实时搜索、候选审核、库内检索、Excel/Word导出</w:t>
            </w:r>
          </w:p>
        </w:tc>
      </w:tr>
      <w:tr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搜索层</w:t>
            </w:r>
          </w:p>
        </w:tc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Brave Search / Serper / 官方API</w:t>
            </w:r>
          </w:p>
        </w:tc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限制搜索官方域名，返回最新网页、法规和PDF链接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抓取层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Requests / Trafilatura / PyPDF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下载网页或PDF并提取可供AI分析的文本</w:t>
            </w:r>
          </w:p>
        </w:tc>
      </w:tr>
      <w:tr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来源校验</w:t>
            </w:r>
          </w:p>
        </w:tc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官方域名白名单</w:t>
            </w:r>
          </w:p>
        </w:tc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标记A/B/C/D级来源，识别是否为政府或监管机构网站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AI层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DeepSeek / OpenAI / None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识别法规类型、状态、日期、主题、Cleva相关度并生成中文摘要</w:t>
            </w:r>
          </w:p>
        </w:tc>
      </w:tr>
      <w:tr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审核层</w:t>
            </w:r>
          </w:p>
        </w:tc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人工审核队列</w:t>
            </w:r>
          </w:p>
        </w:tc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打开官方链接核验，批准、不相关、重复或升级法务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数据层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SQLite；正式版PostgreSQL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保存搜索历史、候选结果、审核记录和正式法规</w:t>
            </w:r>
          </w:p>
        </w:tc>
      </w:tr>
    </w:tbl>
    <w:p>
      <w:pPr>
        <w:jc w:val="center"/>
      </w:pPr>
      <w:r>
        <w:rPr>
          <w:b/>
          <w:color w:val="C00000"/>
        </w:rPr>
        <w:t>关键边界：大模型不是浏览器，搜索层才是“眼睛”；大模型是“阅读与整理人员”。</w:t>
      </w:r>
    </w:p>
    <w:p>
      <w:pPr>
        <w:pStyle w:val="Heading1"/>
      </w:pPr>
      <w:r>
        <w:t>3. 业务流程</w:t>
      </w:r>
    </w:p>
    <w:p>
      <w:r>
        <w:t>1. 用户输入中文或英文关键词，并选择地区与法规主题。</w:t>
      </w:r>
    </w:p>
    <w:p>
      <w:r>
        <w:t>2. 系统自动将查询限制到官方域名，并同时调用可用的官方法规API。</w:t>
      </w:r>
    </w:p>
    <w:p>
      <w:r>
        <w:t>3. 系统抓取结果页面或PDF，记录URL、来源名称、抓取时间和内容Hash。</w:t>
      </w:r>
    </w:p>
    <w:p>
      <w:r>
        <w:t>4. DeepSeek输出结构化JSON，包括法规编号、文件类型、法律状态、日期、主题、摘要和不确定项。</w:t>
      </w:r>
    </w:p>
    <w:p>
      <w:r>
        <w:t>5. 所有结果进入Pending Review，不能自动写入正式知识库。</w:t>
      </w:r>
    </w:p>
    <w:p>
      <w:r>
        <w:t>6. 审核人打开官方原文，核实真实性、最新版本、状态、日期和与Cleva的相关性。</w:t>
      </w:r>
    </w:p>
    <w:p>
      <w:r>
        <w:t>7. 审核通过后，系统将候选记录提升为正式法规记录。</w:t>
      </w:r>
    </w:p>
    <w:p>
      <w:r>
        <w:t>8. 正式知识库可全文搜索，并可导出Excel法规台账或Word法规卡片。</w:t>
      </w:r>
    </w:p>
    <w:p>
      <w:pPr>
        <w:pStyle w:val="Heading1"/>
      </w:pPr>
      <w:r>
        <w:t>4. 搜索范围与法规分类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法规主题</w:t>
            </w:r>
          </w:p>
        </w:tc>
        <w:tc>
          <w:tcPr>
            <w:tcW w:type="dxa" w:w="3324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Cleva相关内容</w:t>
            </w:r>
          </w:p>
        </w:tc>
        <w:tc>
          <w:tcPr>
            <w:tcW w:type="dxa" w:w="3324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典型搜索词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产品安全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一般安全、事故报告、召回、市场监督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product safety, recall, incident reporting</w:t>
            </w:r>
          </w:p>
        </w:tc>
      </w:tr>
      <w:tr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电气与机械安全</w:t>
            </w:r>
          </w:p>
        </w:tc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触电、起火、刀具、运动部件、机械设备</w:t>
            </w:r>
          </w:p>
        </w:tc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electrical safety, machinery, lawn mower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EMC与无线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EMC、FCC、Wi-Fi、Bluetooth、无线电设备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EMC, radio equipment, FCC</w:t>
            </w:r>
          </w:p>
        </w:tc>
      </w:tr>
      <w:tr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包装与EPR</w:t>
            </w:r>
          </w:p>
        </w:tc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PPWR、包装减量、再生材料、州/省EPR</w:t>
            </w:r>
          </w:p>
        </w:tc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PPWR, packaging EPR, recyclability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电池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安全、标签、可拆卸、回收、EPR、运输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battery regulation, QR, removability, UN38.3</w:t>
            </w:r>
          </w:p>
        </w:tc>
      </w:tr>
      <w:tr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化学物质</w:t>
            </w:r>
          </w:p>
        </w:tc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REACH、RoHS、SVHC、PFAS、Prop 65</w:t>
            </w:r>
          </w:p>
        </w:tc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REACH, RoHS, PFAS, restricted substances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废弃物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WEEE、电子废弃物、生产者注册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WEEE, e-waste, producer registration</w:t>
            </w:r>
          </w:p>
        </w:tc>
      </w:tr>
      <w:tr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能效与生态设计</w:t>
            </w:r>
          </w:p>
        </w:tc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能效、待机功耗、生态设计和数字产品信息</w:t>
            </w:r>
          </w:p>
        </w:tc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ecodesign, energy efficiency, standby power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网络安全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联网产品、软件更新、漏洞披露、IoT安全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cybersecurity, connected product, IoT</w:t>
            </w:r>
          </w:p>
        </w:tc>
      </w:tr>
      <w:tr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标签和说明书</w:t>
            </w:r>
          </w:p>
        </w:tc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CE/UK标识、进口商信息、多语言和警告语</w:t>
            </w:r>
          </w:p>
        </w:tc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marking, labelling, instructions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运输危险品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锂电池航空、海运、公路运输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dangerous goods, lithium battery transport</w:t>
            </w:r>
          </w:p>
        </w:tc>
      </w:tr>
    </w:tbl>
    <w:p>
      <w:pPr>
        <w:pStyle w:val="Heading1"/>
      </w:pPr>
      <w:r>
        <w:t>5. 正式知识库字段</w:t>
      </w:r>
    </w:p>
    <w:p>
      <w:r>
        <w:rPr>
          <w:b/>
        </w:rPr>
        <w:t>身份字段：</w:t>
      </w:r>
      <w:r>
        <w:t>Internal ID、Original Title、Chinese Title、Regulation Number</w:t>
      </w:r>
    </w:p>
    <w:p>
      <w:r>
        <w:rPr>
          <w:b/>
        </w:rPr>
        <w:t>地域字段：</w:t>
      </w:r>
      <w:r>
        <w:t>Jurisdiction Group、Country、State / Province、Authority</w:t>
      </w:r>
    </w:p>
    <w:p>
      <w:r>
        <w:rPr>
          <w:b/>
        </w:rPr>
        <w:t>文件与状态：</w:t>
      </w:r>
      <w:r>
        <w:t>Document Type、Legal Status、Version、Record Status</w:t>
      </w:r>
    </w:p>
    <w:p>
      <w:r>
        <w:rPr>
          <w:b/>
        </w:rPr>
        <w:t>日期字段：</w:t>
      </w:r>
      <w:r>
        <w:t>Publication、Entry into Force、Application、Compliance Deadline、Last Verified</w:t>
      </w:r>
    </w:p>
    <w:p>
      <w:r>
        <w:rPr>
          <w:b/>
        </w:rPr>
        <w:t>Cleva分类：</w:t>
      </w:r>
      <w:r>
        <w:t>Topics、Business Lines、Relevance Level、Cleva Impact</w:t>
      </w:r>
    </w:p>
    <w:p>
      <w:r>
        <w:rPr>
          <w:b/>
        </w:rPr>
        <w:t>来源与证据：</w:t>
      </w:r>
      <w:r>
        <w:t>Official URL、PDF URL、Source Name、Source Level、Content Hash</w:t>
      </w:r>
    </w:p>
    <w:p>
      <w:r>
        <w:rPr>
          <w:b/>
        </w:rPr>
        <w:t>审核字段：</w:t>
      </w:r>
      <w:r>
        <w:t>Reviewer、Review Decision、Review Note、Review Timestamp</w:t>
      </w:r>
    </w:p>
    <w:p>
      <w:r>
        <w:rPr>
          <w:b/>
        </w:rPr>
        <w:t>Excel与Word的定位：</w:t>
      </w:r>
      <w:r>
        <w:t>数据库是唯一主版本；Excel用于批量筛选与汇报，Word用于单条法规传阅。禁止只在个人Excel中维护而不回写数据库。</w:t>
      </w:r>
    </w:p>
    <w:p>
      <w:pPr>
        <w:pStyle w:val="Heading1"/>
      </w:pPr>
      <w:r>
        <w:t>6. DeepSeek是否能访问欧美法规网站</w:t>
      </w:r>
    </w:p>
    <w:p>
      <w:r>
        <w:rPr>
          <w:b/>
        </w:rPr>
        <w:t>技术上需要分开理解“模型能力”和“网络连接”：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 w:val="true"/>
        </w:trPr>
        <w:tc>
          <w:tcPr>
            <w:tcW w:type="dxa" w:w="3324"/>
            <w:shd w:fill="17365D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问题</w:t>
            </w:r>
          </w:p>
        </w:tc>
        <w:tc>
          <w:tcPr>
            <w:tcW w:type="dxa" w:w="3324"/>
            <w:shd w:fill="17365D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答案</w:t>
            </w:r>
          </w:p>
        </w:tc>
        <w:tc>
          <w:tcPr>
            <w:tcW w:type="dxa" w:w="3324"/>
            <w:shd w:fill="17365D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项目处理方式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DeepSeek能否理解法规？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可以，适合摘要、分类、翻译和结构化提取。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给模型输入已抓取的法规正文，并要求输出严格JSON。</w:t>
            </w:r>
          </w:p>
        </w:tc>
      </w:tr>
      <w:tr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DeepSeek API是否自动浏览网站？</w:t>
            </w:r>
          </w:p>
        </w:tc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不能假设普通聊天调用会自动浏览。工具调用只会提出调用请求，具体函数由系统执行。</w:t>
            </w:r>
          </w:p>
        </w:tc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Python后端实现search_web和fetch_document工具。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DeepSeek是否有搜索能力？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部分官方集成环境支持Web Search，但不应作为企业法规库的唯一搜索层。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使用自有搜索API和官方API，保证链接、日志和可追溯性。</w:t>
            </w:r>
          </w:p>
        </w:tc>
      </w:tr>
      <w:tr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中国模型能否访问国外网站？</w:t>
            </w:r>
          </w:p>
        </w:tc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能否访问主要取决于服务器网络、目标网站策略和搜索服务，而非模型国别。</w:t>
            </w:r>
          </w:p>
        </w:tc>
        <w:tc>
          <w:tcPr>
            <w:tcW w:type="dxa" w:w="3324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部署在可稳定访问目标监管网站的环境，或使用公司批准的网络出口。</w:t>
            </w:r>
          </w:p>
        </w:tc>
      </w:tr>
      <w:tr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必须使用OpenAI吗？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不必须。</w:t>
            </w:r>
          </w:p>
        </w:tc>
        <w:tc>
          <w:tcPr>
            <w:tcW w:type="dxa" w:w="3324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默认DeepSeek；通过provider适配器随时切换。</w:t>
            </w:r>
          </w:p>
        </w:tc>
      </w:tr>
    </w:tbl>
    <w:p>
      <w:pPr>
        <w:pStyle w:val="Heading1"/>
      </w:pPr>
      <w:r>
        <w:t>7. 运行MVP</w:t>
      </w:r>
    </w:p>
    <w:p>
      <w:r>
        <w:t>1. 解压 cleva_regulatory_library_mvp.zip。</w:t>
      </w:r>
    </w:p>
    <w:p>
      <w:r>
        <w:t>2. 创建Python虚拟环境并安装 requirements.txt。</w:t>
      </w:r>
    </w:p>
    <w:p>
      <w:r>
        <w:t>3. 复制 .env.example 为 .env。</w:t>
      </w:r>
    </w:p>
    <w:p>
      <w:r>
        <w:t>4. 填写搜索API Key；推荐Brave Search或Serper。</w:t>
      </w:r>
    </w:p>
    <w:p>
      <w:r>
        <w:t>5. 填写DeepSeek API Key，并保留 LLM_PROVIDER=deepseek。</w:t>
      </w:r>
    </w:p>
    <w:p>
      <w:r>
        <w:t>6. 运行 streamlit run app.py。</w:t>
      </w:r>
    </w:p>
    <w:p>
      <w:pPr/>
      <w:r>
        <w:rPr>
          <w:rFonts w:ascii="Liberation Mono" w:hAnsi="Liberation Mono" w:eastAsia="Noto Sans Mono CJK SC"/>
          <w:sz w:val="18"/>
        </w:rPr>
        <w:t>SEARCH_PROVIDER=brave</w:t>
        <w:br/>
        <w:t>BRAVE_SEARCH_API_KEY=...</w:t>
        <w:br/>
        <w:t>LLM_PROVIDER=deepseek</w:t>
        <w:br/>
        <w:t>DEEPSEEK_API_KEY=...</w:t>
        <w:br/>
        <w:t>DEEPSEEK_MODEL=deepseek-v4-flash</w:t>
      </w:r>
    </w:p>
    <w:p>
      <w:r>
        <w:rPr>
          <w:b/>
        </w:rPr>
        <w:t>说明：</w:t>
      </w:r>
      <w:r>
        <w:t>源码中的openai Python包只是兼容客户端。当base_url设置为 https://api.deepseek.com 时，调用的是DeepSeek，不会消耗OpenAI额度。</w:t>
      </w:r>
    </w:p>
    <w:p>
      <w:pPr>
        <w:pStyle w:val="Heading1"/>
      </w:pPr>
      <w:r>
        <w:t>8. 人工审核规则</w:t>
      </w:r>
    </w:p>
    <w:p>
      <w:pPr>
        <w:pStyle w:val="ListBullet"/>
      </w:pPr>
      <w:r>
        <w:t>域名是否属于政府、立法机关或监管机构官方域名。</w:t>
      </w:r>
    </w:p>
    <w:p>
      <w:pPr>
        <w:pStyle w:val="ListBullet"/>
      </w:pPr>
      <w:r>
        <w:t>文件是正式法律、拟议规则、咨询、指南、新闻还是技术标准。</w:t>
      </w:r>
    </w:p>
    <w:p>
      <w:pPr>
        <w:pStyle w:val="ListBullet"/>
      </w:pPr>
      <w:r>
        <w:t>法规编号和原始标题是否与官方页面一致。</w:t>
      </w:r>
    </w:p>
    <w:p>
      <w:pPr>
        <w:pStyle w:val="ListBullet"/>
      </w:pPr>
      <w:r>
        <w:t>页面是否为最新合并版本，是否存在修订、勘误、替代或废止文件。</w:t>
      </w:r>
    </w:p>
    <w:p>
      <w:pPr>
        <w:pStyle w:val="ListBullet"/>
      </w:pPr>
      <w:r>
        <w:t>发布日期、生效日期、适用日期和合规截止日期是否被正确区分。</w:t>
      </w:r>
    </w:p>
    <w:p>
      <w:pPr>
        <w:pStyle w:val="ListBullet"/>
      </w:pPr>
      <w:r>
        <w:t>法规是否真实影响Cleva产品、包装、配件、电池、供应链或市场准入。</w:t>
      </w:r>
    </w:p>
    <w:p>
      <w:pPr>
        <w:pStyle w:val="ListBullet"/>
      </w:pPr>
      <w:r>
        <w:t>AI摘要是否忠实于原文；不确定内容必须明确标注。</w:t>
      </w:r>
    </w:p>
    <w:p>
      <w:pPr>
        <w:pStyle w:val="ListBullet"/>
      </w:pPr>
      <w:r>
        <w:t>审核人、审核日期和审核备注是否填写完整。</w:t>
      </w:r>
    </w:p>
    <w:p>
      <w:r>
        <w:rPr>
          <w:b/>
        </w:rPr>
        <w:t>不得自动批准的情形：</w:t>
      </w:r>
      <w:r>
        <w:t>搜索结果只有新闻转载、律师文章、检测机构营销页；法规状态不明；日期冲突；链接失效；网页只提供二手摘要；或涉及高风险法律解释。</w:t>
      </w:r>
    </w:p>
    <w:p>
      <w:pPr>
        <w:pStyle w:val="Heading1"/>
      </w:pPr>
      <w:r>
        <w:t>9. 从MVP到公司正式系统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blHeader w:val="true"/>
        </w:trPr>
        <w:tc>
          <w:tcPr>
            <w:tcW w:type="dxa" w:w="2493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阶段</w:t>
            </w:r>
          </w:p>
        </w:tc>
        <w:tc>
          <w:tcPr>
            <w:tcW w:type="dxa" w:w="2493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主要工作</w:t>
            </w:r>
          </w:p>
        </w:tc>
        <w:tc>
          <w:tcPr>
            <w:tcW w:type="dxa" w:w="2493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2493"/>
            <w:shd w:fill="1F4E78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建议周期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MVP验证</w:t>
            </w:r>
          </w:p>
        </w:tc>
        <w:tc>
          <w:tcPr>
            <w:tcW w:type="dxa" w:w="2493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搜索、抓取、DeepSeek提取、人工审核、SQLite、Excel/Word导出</w:t>
            </w:r>
          </w:p>
        </w:tc>
        <w:tc>
          <w:tcPr>
            <w:tcW w:type="dxa" w:w="2493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可供小范围试用</w:t>
            </w:r>
          </w:p>
        </w:tc>
        <w:tc>
          <w:tcPr>
            <w:tcW w:type="dxa" w:w="2493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1–2周</w:t>
            </w:r>
          </w:p>
        </w:tc>
      </w:tr>
      <w:tr>
        <w:tc>
          <w:tcPr>
            <w:tcW w:type="dxa" w:w="2493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来源增强</w:t>
            </w:r>
          </w:p>
        </w:tc>
        <w:tc>
          <w:tcPr>
            <w:tcW w:type="dxa" w:w="2493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EUR-Lex、UK、Federal Register、Canada Gazette等专用连接器</w:t>
            </w:r>
          </w:p>
        </w:tc>
        <w:tc>
          <w:tcPr>
            <w:tcW w:type="dxa" w:w="2493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覆盖率和稳定性提升</w:t>
            </w:r>
          </w:p>
        </w:tc>
        <w:tc>
          <w:tcPr>
            <w:tcW w:type="dxa" w:w="2493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2–4周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企业化</w:t>
            </w:r>
          </w:p>
        </w:tc>
        <w:tc>
          <w:tcPr>
            <w:tcW w:type="dxa" w:w="2493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PostgreSQL、SSO、角色权限、SharePoint/S3、备份、日志</w:t>
            </w:r>
          </w:p>
        </w:tc>
        <w:tc>
          <w:tcPr>
            <w:tcW w:type="dxa" w:w="2493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内部正式系统</w:t>
            </w:r>
          </w:p>
        </w:tc>
        <w:tc>
          <w:tcPr>
            <w:tcW w:type="dxa" w:w="2493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4–8周</w:t>
            </w:r>
          </w:p>
        </w:tc>
      </w:tr>
      <w:tr>
        <w:tc>
          <w:tcPr>
            <w:tcW w:type="dxa" w:w="2493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持续监控</w:t>
            </w:r>
          </w:p>
        </w:tc>
        <w:tc>
          <w:tcPr>
            <w:tcW w:type="dxa" w:w="2493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保存搜索、定时任务、网页变更检测、版本关系和预警</w:t>
            </w:r>
          </w:p>
        </w:tc>
        <w:tc>
          <w:tcPr>
            <w:tcW w:type="dxa" w:w="2493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法规雷达</w:t>
            </w:r>
          </w:p>
        </w:tc>
        <w:tc>
          <w:tcPr>
            <w:tcW w:type="dxa" w:w="2493"/>
            <w:shd w:fill="F2F2F2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持续迭代</w:t>
            </w:r>
          </w:p>
        </w:tc>
      </w:tr>
      <w:tr>
        <w:tc>
          <w:tcPr>
            <w:tcW w:type="dxa" w:w="2493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产品关联</w:t>
            </w:r>
          </w:p>
        </w:tc>
        <w:tc>
          <w:tcPr>
            <w:tcW w:type="dxa" w:w="2493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产品主数据、适用性规则、任务与证据管理</w:t>
            </w:r>
          </w:p>
        </w:tc>
        <w:tc>
          <w:tcPr>
            <w:tcW w:type="dxa" w:w="2493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产品合规平台</w:t>
            </w:r>
          </w:p>
        </w:tc>
        <w:tc>
          <w:tcPr>
            <w:tcW w:type="dxa" w:w="2493"/>
            <w:vAlign w:val="center"/>
          </w:tcPr>
          <w:p>
            <w:pPr>
              <w:spacing w:after="40" w:before="0"/>
            </w:pPr>
            <w:r>
              <w:rPr>
                <w:rFonts w:ascii="Noto Sans CJK SC" w:hAnsi="Noto Sans CJK SC" w:eastAsia="Noto Sans CJK SC"/>
                <w:sz w:val="18"/>
              </w:rPr>
              <w:t>第二阶段</w:t>
            </w:r>
          </w:p>
        </w:tc>
      </w:tr>
    </w:tbl>
    <w:p>
      <w:pPr>
        <w:pStyle w:val="Heading1"/>
      </w:pPr>
      <w:r>
        <w:t>10. 第一阶段验收标准</w:t>
      </w:r>
    </w:p>
    <w:p>
      <w:pPr>
        <w:pStyle w:val="ListBullet"/>
      </w:pPr>
      <w:r>
        <w:t>用户可以选择EU、UK、US Federal、US States、Canada Federal和Canada Provinces。</w:t>
      </w:r>
    </w:p>
    <w:p>
      <w:pPr>
        <w:pStyle w:val="ListBullet"/>
      </w:pPr>
      <w:r>
        <w:t>搜索结果优先来自官方白名单，并展示可点击的官方URL。</w:t>
      </w:r>
    </w:p>
    <w:p>
      <w:pPr>
        <w:pStyle w:val="ListBullet"/>
      </w:pPr>
      <w:r>
        <w:t>系统能够抓取常见HTML和可提取文本的PDF。</w:t>
      </w:r>
    </w:p>
    <w:p>
      <w:pPr>
        <w:pStyle w:val="ListBullet"/>
      </w:pPr>
      <w:r>
        <w:t>DeepSeek能够返回结构化字段；失败时不会阻止候选结果保存。</w:t>
      </w:r>
    </w:p>
    <w:p>
      <w:pPr>
        <w:pStyle w:val="ListBullet"/>
      </w:pPr>
      <w:r>
        <w:t>所有候选结果默认处于Pending状态。</w:t>
      </w:r>
    </w:p>
    <w:p>
      <w:pPr>
        <w:pStyle w:val="ListBullet"/>
      </w:pPr>
      <w:r>
        <w:t>只有填写审核人并点击批准后，记录才能进入正式库。</w:t>
      </w:r>
    </w:p>
    <w:p>
      <w:pPr>
        <w:pStyle w:val="ListBullet"/>
      </w:pPr>
      <w:r>
        <w:t>正式库支持关键词搜索，并可导出Excel和单条Word。</w:t>
      </w:r>
    </w:p>
    <w:p>
      <w:pPr>
        <w:pStyle w:val="ListBullet"/>
      </w:pPr>
      <w:r>
        <w:t>数据库保留搜索、候选、审核和正式记录之间的关联。</w:t>
      </w:r>
    </w:p>
    <w:p>
      <w:pPr>
        <w:pStyle w:val="ListBullet"/>
      </w:pPr>
      <w:r>
        <w:t>系统明确展示AI免责声明和来源等级。</w:t>
      </w:r>
    </w:p>
    <w:p>
      <w:pPr>
        <w:pStyle w:val="Heading1"/>
      </w:pPr>
      <w:r>
        <w:t>11. 现实限制与风险</w:t>
      </w:r>
    </w:p>
    <w:p>
      <w:r>
        <w:rPr>
          <w:b/>
        </w:rPr>
        <w:t>搜索完整性：</w:t>
      </w:r>
      <w:r>
        <w:t>任何搜索引擎都不能保证找到“所有”法规。必须结合官方API、保存搜索和人工补录。</w:t>
      </w:r>
    </w:p>
    <w:p>
      <w:r>
        <w:rPr>
          <w:b/>
        </w:rPr>
        <w:t>网页限制：</w:t>
      </w:r>
      <w:r>
        <w:t>部分监管网站使用验证码、JavaScript或反爬策略，需要专用连接器或浏览器自动化。</w:t>
      </w:r>
    </w:p>
    <w:p>
      <w:r>
        <w:rPr>
          <w:b/>
        </w:rPr>
        <w:t>扫描PDF：</w:t>
      </w:r>
      <w:r>
        <w:t>纯扫描PDF无法可靠提取文字，后续需加入OCR并保持人工复核。</w:t>
      </w:r>
    </w:p>
    <w:p>
      <w:r>
        <w:rPr>
          <w:b/>
        </w:rPr>
        <w:t>法律解释：</w:t>
      </w:r>
      <w:r>
        <w:t>系统只能提供法规情报和初步影响分析，不能替代法务意见。</w:t>
      </w:r>
    </w:p>
    <w:p>
      <w:r>
        <w:rPr>
          <w:b/>
        </w:rPr>
        <w:t>数据安全：</w:t>
      </w:r>
      <w:r>
        <w:t>将公司内部信息或未公开产品资料发送到任何外部模型前，需要公司IT、法务和数据安全批准。</w:t>
      </w:r>
    </w:p>
    <w:p>
      <w:r>
        <w:rPr>
          <w:b/>
        </w:rPr>
        <w:t>跨境网络：</w:t>
      </w:r>
      <w:r>
        <w:t>若部署环境不能稳定访问欧美监管网站，应由公司IT解决网络出口或区域部署。</w:t>
      </w:r>
    </w:p>
    <w:p>
      <w:pPr>
        <w:pStyle w:val="Heading1"/>
      </w:pPr>
      <w:r>
        <w:t>12. 参考官方文档</w:t>
      </w:r>
    </w:p>
    <w:p>
      <w:pPr>
        <w:pStyle w:val="ListBullet"/>
      </w:pPr>
      <w:r>
        <w:t>DeepSeek API首次调用与兼容格式：</w:t>
      </w:r>
      <w:hyperlink r:id="rId9">
        <w:r>
          <w:rPr>
            <w:color w:val="0563C1"/>
            <w:u w:val="single"/>
          </w:rPr>
          <w:t>https://api-docs.deepseek.com/</w:t>
        </w:r>
      </w:hyperlink>
    </w:p>
    <w:p>
      <w:pPr>
        <w:pStyle w:val="ListBullet"/>
      </w:pPr>
      <w:r>
        <w:t>DeepSeek Tool Calls：</w:t>
      </w:r>
      <w:hyperlink r:id="rId10">
        <w:r>
          <w:rPr>
            <w:color w:val="0563C1"/>
            <w:u w:val="single"/>
          </w:rPr>
          <w:t>https://api-docs.deepseek.com/guides/tool_calls</w:t>
        </w:r>
      </w:hyperlink>
    </w:p>
    <w:p>
      <w:pPr>
        <w:pStyle w:val="ListBullet"/>
      </w:pPr>
      <w:r>
        <w:t>DeepSeek Claude Code Web Search说明：</w:t>
      </w:r>
      <w:hyperlink r:id="rId11">
        <w:r>
          <w:rPr>
            <w:color w:val="0563C1"/>
            <w:u w:val="single"/>
          </w:rPr>
          <w:t>https://api-docs.deepseek.com/quick_start/agent_integrations/claude_code/</w:t>
        </w:r>
      </w:hyperlink>
    </w:p>
    <w:p>
      <w:pPr>
        <w:pStyle w:val="ListBullet"/>
      </w:pPr>
      <w:r>
        <w:t>OpenAI Web Search工具说明（可选方案）：</w:t>
      </w:r>
      <w:hyperlink r:id="rId12">
        <w:r>
          <w:rPr>
            <w:color w:val="0563C1"/>
            <w:u w:val="single"/>
          </w:rPr>
          <w:t>https://platform.openai.com/docs/guides/tools-web-search</w:t>
        </w:r>
      </w:hyperlink>
    </w:p>
    <w:p>
      <w:pPr>
        <w:pStyle w:val="ListBullet"/>
      </w:pPr>
      <w:r>
        <w:t>EUR-Lex PPWR正式文本：</w:t>
      </w:r>
      <w:hyperlink r:id="rId13">
        <w:r>
          <w:rPr>
            <w:color w:val="0563C1"/>
            <w:u w:val="single"/>
          </w:rPr>
          <w:t>https://eur-lex.europa.eu/eli/reg/2025/40/oj/eng</w:t>
        </w:r>
      </w:hyperlink>
    </w:p>
    <w:p>
      <w:pPr>
        <w:pStyle w:val="ListBullet"/>
      </w:pPr>
      <w:r>
        <w:t>EUR-Lex欧盟电池法规正式文本：</w:t>
      </w:r>
      <w:hyperlink r:id="rId14">
        <w:r>
          <w:rPr>
            <w:color w:val="0563C1"/>
            <w:u w:val="single"/>
          </w:rPr>
          <w:t>https://eur-lex.europa.eu/eli/reg/2023/1542/oj/eng</w:t>
        </w:r>
      </w:hyperlink>
    </w:p>
    <w:p>
      <w:pPr>
        <w:jc w:val="center"/>
      </w:pPr>
      <w:r>
        <w:rPr>
          <w:i/>
          <w:color w:val="7F7F7F"/>
        </w:rPr>
        <w:br/>
        <w:t>免责声明：本文件用于内部项目设计与技术实施，不构成法律意见。</w:t>
      </w:r>
    </w:p>
    <w:sectPr w:rsidR="00FC693F" w:rsidRPr="0006063C" w:rsidSect="00034616">
      <w:footerReference w:type="default" r:id="rId15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Cleva Global Regulatory Library | MVP 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17365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api-docs.deepseek.com/" TargetMode="External"/><Relationship Id="rId10" Type="http://schemas.openxmlformats.org/officeDocument/2006/relationships/hyperlink" Target="https://api-docs.deepseek.com/guides/tool_calls" TargetMode="External"/><Relationship Id="rId11" Type="http://schemas.openxmlformats.org/officeDocument/2006/relationships/hyperlink" Target="https://api-docs.deepseek.com/quick_start/agent_integrations/claude_code/" TargetMode="External"/><Relationship Id="rId12" Type="http://schemas.openxmlformats.org/officeDocument/2006/relationships/hyperlink" Target="https://platform.openai.com/docs/guides/tools-web-search" TargetMode="External"/><Relationship Id="rId13" Type="http://schemas.openxmlformats.org/officeDocument/2006/relationships/hyperlink" Target="https://eur-lex.europa.eu/eli/reg/2025/40/oj/eng" TargetMode="External"/><Relationship Id="rId14" Type="http://schemas.openxmlformats.org/officeDocument/2006/relationships/hyperlink" Target="https://eur-lex.europa.eu/eli/reg/2023/1542/oj/eng" TargetMode="External"/><Relationship Id="rId15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