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Manual de administración y operación de PriceBot</w:t>
      </w:r>
    </w:p>
    <w:p>
      <w:pPr>
        <w:spacing w:after="360"/>
      </w:pPr>
      <w:r>
        <w:rPr>
          <w:b/>
        </w:rPr>
        <w:t>Guía de puesta en marcha seguridad usuarios tokens créditos y uso diario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68"/>
        <w:gridCol w:w="4968"/>
      </w:tblGrid>
      <w:tr>
        <w:trPr>
          <w:tblHeader w:val="true"/>
          <w:cantSplit/>
        </w:trPr>
        <w:tc>
          <w:tcPr>
            <w:tcW w:type="dxa" w:w="2376"/>
            <w:shd w:fill="183B56"/>
            <w:tcMar>
              <w:top w:w="110" w:type="dxa"/>
              <w:start w:w="110" w:type="dxa"/>
              <w:bottom w:w="110" w:type="dxa"/>
              <w:end w:w="110" w:type="dxa"/>
            </w:tcMar>
            <w:vAlign w:val="center"/>
          </w:tcPr>
          <w:p>
            <w:pPr>
              <w:jc w:val="center"/>
            </w:pPr>
            <w:r>
              <w:rPr>
                <w:b/>
                <w:color w:val="FFFFFF"/>
                <w:sz w:val="19"/>
              </w:rPr>
              <w:t>Dato</w:t>
            </w:r>
          </w:p>
        </w:tc>
        <w:tc>
          <w:tcPr>
            <w:tcW w:type="dxa" w:w="7272"/>
            <w:shd w:fill="183B56"/>
            <w:tcMar>
              <w:top w:w="110" w:type="dxa"/>
              <w:start w:w="110" w:type="dxa"/>
              <w:bottom w:w="110" w:type="dxa"/>
              <w:end w:w="110" w:type="dxa"/>
            </w:tcMar>
            <w:vAlign w:val="center"/>
          </w:tcPr>
          <w:p>
            <w:pPr>
              <w:jc w:val="center"/>
            </w:pPr>
            <w:r>
              <w:rPr>
                <w:b/>
                <w:color w:val="FFFFFF"/>
                <w:sz w:val="19"/>
              </w:rPr>
              <w:t>Valor</w:t>
            </w:r>
          </w:p>
        </w:tc>
      </w:tr>
      <w:tr>
        <w:trPr>
          <w:cantSplit/>
        </w:trPr>
        <w:tc>
          <w:tcPr>
            <w:tcW w:type="dxa" w:w="2376"/>
            <w:tcMar>
              <w:top w:w="110" w:type="dxa"/>
              <w:start w:w="110" w:type="dxa"/>
              <w:bottom w:w="110" w:type="dxa"/>
              <w:end w:w="110" w:type="dxa"/>
            </w:tcMar>
            <w:vAlign w:val="center"/>
          </w:tcPr>
          <w:p>
            <w:pPr>
              <w:spacing w:after="0"/>
            </w:pPr>
            <w:r>
              <w:rPr>
                <w:sz w:val="19"/>
              </w:rPr>
              <w:t>Destinatario</w:t>
            </w:r>
          </w:p>
        </w:tc>
        <w:tc>
          <w:tcPr>
            <w:tcW w:type="dxa" w:w="7272"/>
            <w:tcMar>
              <w:top w:w="110" w:type="dxa"/>
              <w:start w:w="110" w:type="dxa"/>
              <w:bottom w:w="110" w:type="dxa"/>
              <w:end w:w="110" w:type="dxa"/>
            </w:tcMar>
            <w:vAlign w:val="center"/>
          </w:tcPr>
          <w:p>
            <w:pPr>
              <w:spacing w:after="0"/>
            </w:pPr>
            <w:r>
              <w:rPr>
                <w:sz w:val="19"/>
              </w:rPr>
              <w:t>Área de Administración y soporte técnico</w:t>
            </w:r>
          </w:p>
        </w:tc>
      </w:tr>
      <w:tr>
        <w:trPr>
          <w:cantSplit/>
        </w:trPr>
        <w:tc>
          <w:tcPr>
            <w:tcW w:type="dxa" w:w="2376"/>
            <w:tcMar>
              <w:top w:w="110" w:type="dxa"/>
              <w:start w:w="110" w:type="dxa"/>
              <w:bottom w:w="110" w:type="dxa"/>
              <w:end w:w="110" w:type="dxa"/>
            </w:tcMar>
            <w:vAlign w:val="center"/>
            <w:shd w:fill="EAF3F8"/>
          </w:tcPr>
          <w:p>
            <w:pPr>
              <w:spacing w:after="0"/>
            </w:pPr>
            <w:r>
              <w:rPr>
                <w:sz w:val="19"/>
              </w:rPr>
              <w:t>Sistema</w:t>
            </w:r>
          </w:p>
        </w:tc>
        <w:tc>
          <w:tcPr>
            <w:tcW w:type="dxa" w:w="7272"/>
            <w:tcMar>
              <w:top w:w="110" w:type="dxa"/>
              <w:start w:w="110" w:type="dxa"/>
              <w:bottom w:w="110" w:type="dxa"/>
              <w:end w:w="110" w:type="dxa"/>
            </w:tcMar>
            <w:vAlign w:val="center"/>
            <w:shd w:fill="EAF3F8"/>
          </w:tcPr>
          <w:p>
            <w:pPr>
              <w:spacing w:after="0"/>
            </w:pPr>
            <w:r>
              <w:rPr>
                <w:sz w:val="19"/>
              </w:rPr>
              <w:t>AnalizadorPlanillas PriceBot</w:t>
            </w:r>
          </w:p>
        </w:tc>
      </w:tr>
      <w:tr>
        <w:trPr>
          <w:cantSplit/>
        </w:trPr>
        <w:tc>
          <w:tcPr>
            <w:tcW w:type="dxa" w:w="2376"/>
            <w:tcMar>
              <w:top w:w="110" w:type="dxa"/>
              <w:start w:w="110" w:type="dxa"/>
              <w:bottom w:w="110" w:type="dxa"/>
              <w:end w:w="110" w:type="dxa"/>
            </w:tcMar>
            <w:vAlign w:val="center"/>
          </w:tcPr>
          <w:p>
            <w:pPr>
              <w:spacing w:after="0"/>
            </w:pPr>
            <w:r>
              <w:rPr>
                <w:sz w:val="19"/>
              </w:rPr>
              <w:t>Servidor de referencia</w:t>
            </w:r>
          </w:p>
        </w:tc>
        <w:tc>
          <w:tcPr>
            <w:tcW w:type="dxa" w:w="7272"/>
            <w:tcMar>
              <w:top w:w="110" w:type="dxa"/>
              <w:start w:w="110" w:type="dxa"/>
              <w:bottom w:w="110" w:type="dxa"/>
              <w:end w:w="110" w:type="dxa"/>
            </w:tcMar>
            <w:vAlign w:val="center"/>
          </w:tcPr>
          <w:p>
            <w:pPr>
              <w:spacing w:after="0"/>
            </w:pPr>
            <w:r>
              <w:rPr>
                <w:sz w:val="19"/>
              </w:rPr>
              <w:t>192.168.190.146 en la red 192.168.190.0/24</w:t>
            </w:r>
          </w:p>
        </w:tc>
      </w:tr>
      <w:tr>
        <w:trPr>
          <w:cantSplit/>
        </w:trPr>
        <w:tc>
          <w:tcPr>
            <w:tcW w:type="dxa" w:w="2376"/>
            <w:tcMar>
              <w:top w:w="110" w:type="dxa"/>
              <w:start w:w="110" w:type="dxa"/>
              <w:bottom w:w="110" w:type="dxa"/>
              <w:end w:w="110" w:type="dxa"/>
            </w:tcMar>
            <w:vAlign w:val="center"/>
            <w:shd w:fill="EAF3F8"/>
          </w:tcPr>
          <w:p>
            <w:pPr>
              <w:spacing w:after="0"/>
            </w:pPr>
            <w:r>
              <w:rPr>
                <w:sz w:val="19"/>
              </w:rPr>
              <w:t>Versión del manual</w:t>
            </w:r>
          </w:p>
        </w:tc>
        <w:tc>
          <w:tcPr>
            <w:tcW w:type="dxa" w:w="7272"/>
            <w:tcMar>
              <w:top w:w="110" w:type="dxa"/>
              <w:start w:w="110" w:type="dxa"/>
              <w:bottom w:w="110" w:type="dxa"/>
              <w:end w:w="110" w:type="dxa"/>
            </w:tcMar>
            <w:vAlign w:val="center"/>
            <w:shd w:fill="EAF3F8"/>
          </w:tcPr>
          <w:p>
            <w:r>
              <w:t>13 de octubre de 2026</w:t>
            </w:r>
          </w:p>
        </w:tc>
      </w:tr>
      <w:tr>
        <w:trPr>
          <w:cantSplit/>
        </w:trPr>
        <w:tc>
          <w:tcPr>
            <w:tcW w:type="dxa" w:w="2376"/>
            <w:tcMar>
              <w:top w:w="110" w:type="dxa"/>
              <w:start w:w="110" w:type="dxa"/>
              <w:bottom w:w="110" w:type="dxa"/>
              <w:end w:w="110" w:type="dxa"/>
            </w:tcMar>
            <w:vAlign w:val="center"/>
          </w:tcPr>
          <w:p>
            <w:pPr>
              <w:spacing w:after="0"/>
            </w:pPr>
            <w:r>
              <w:rPr>
                <w:sz w:val="19"/>
              </w:rPr>
              <w:t>Repositorio</w:t>
            </w:r>
          </w:p>
        </w:tc>
        <w:tc>
          <w:tcPr>
            <w:tcW w:type="dxa" w:w="7272"/>
            <w:tcMar>
              <w:top w:w="110" w:type="dxa"/>
              <w:start w:w="110" w:type="dxa"/>
              <w:bottom w:w="110" w:type="dxa"/>
              <w:end w:w="110" w:type="dxa"/>
            </w:tcMar>
            <w:vAlign w:val="center"/>
          </w:tcPr>
          <w:p>
            <w:pPr>
              <w:spacing w:after="0"/>
            </w:pPr>
            <w:r>
              <w:rPr>
                <w:sz w:val="19"/>
              </w:rPr>
              <w:t>github.com/GaryPoui/AnalizadorPlanillas</w:t>
            </w:r>
          </w:p>
        </w:tc>
      </w:tr>
    </w:tbl>
    <w:p>
      <w:pPr>
        <w:spacing w:after="40"/>
      </w:pPr>
    </w:p>
    <w:p>
      <w:pPr>
        <w:pStyle w:val="Heading1"/>
      </w:pPr>
      <w:r>
        <w:t>Objetivo y alcance</w:t>
      </w:r>
    </w:p>
    <w:p>
      <w:r>
        <w:t>Este manual permite que el área de Administración opere PriceBot, gestione accesos, mantenga las cuentas externas y controle el consumo de créditos sin depender del equipo que desarrolló la aplicación. También establece qué datos pueden compartirse y qué secretos deben permanecer únicamente en la computadora servidor.</w:t>
      </w:r>
    </w:p>
    <w:p>
      <w:r>
        <w:t>PriceBot recibe listas de precios en PDF, Excel, CSV o imagen y genera una planilla normalizada. La extracción local no requiere créditos. El uso de IA externa es opcional y solo debe activarse cuando exista autorización para enviar contenido del documento a Anthropic.</w:t>
      </w:r>
    </w:p>
    <w:p>
      <w:pPr>
        <w:pStyle w:val="Heading1"/>
      </w:pPr>
      <w:r>
        <w:t>Estado operativo y decisión de seguridad</w:t>
      </w:r>
    </w:p>
    <w:p>
      <w:r>
        <w:t>El administrador opera desde la PC servidor mediante localhost. Para las demás computadoras, PriceBot exige HTTPS y un certificado TLS confiable. Sin certificado y clave configurados, el lanzador limita frontend y API a localhost; al instalarlos, habilita HTTPS en la LAN. No usar documentos ni credenciales remotas por HTTP.</w:t>
      </w:r>
    </w:p>
    <w:p>
      <w:pPr>
        <w:pStyle w:val="ListBullet"/>
      </w:pPr>
      <w:r>
        <w:t>No exponer los puertos 3000 u 8000 directamente a Internet.</w:t>
      </w:r>
    </w:p>
    <w:p>
      <w:pPr>
        <w:pStyle w:val="ListBullet"/>
      </w:pPr>
      <w:r>
        <w:t>Permitir acceso únicamente desde la subred autorizada y el perfil de red Privado.</w:t>
      </w:r>
    </w:p>
    <w:p>
      <w:pPr>
        <w:pStyle w:val="ListBullet"/>
      </w:pPr>
      <w:r>
        <w:t>Mantener PRICEBOT_ALLOW_EXTERNAL_AI en 0 si el documento no puede salir de la organización.</w:t>
      </w:r>
    </w:p>
    <w:p>
      <w:pPr>
        <w:pStyle w:val="ListBullet"/>
      </w:pPr>
      <w:r>
        <w:t>No enviar contraseñas, claves API ni contraseñas de aplicación por correo o chat.</w:t>
      </w:r>
    </w:p>
    <w:p>
      <w:pPr>
        <w:pStyle w:val="Heading1"/>
        <w:pageBreakBefore/>
      </w:pPr>
      <w:r>
        <w:t>Enlaces y puntos de acceso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val="true"/>
          <w:cantSplit/>
        </w:trPr>
        <w:tc>
          <w:tcPr>
            <w:tcW w:type="dxa" w:w="3312"/>
            <w:shd w:fill="183B56"/>
            <w:tcMar>
              <w:top w:w="110" w:type="dxa"/>
              <w:start w:w="110" w:type="dxa"/>
              <w:bottom w:w="110" w:type="dxa"/>
              <w:end w:w="110" w:type="dxa"/>
            </w:tcMar>
          </w:tcPr>
          <w:p>
            <w:pPr>
              <w:jc w:val="center"/>
            </w:pPr>
            <w:r>
              <w:rPr>
                <w:b/>
                <w:color w:val="FFFFFF"/>
                <w:sz w:val="19"/>
              </w:rPr>
              <w:t>Recurso</w:t>
            </w:r>
          </w:p>
        </w:tc>
        <w:tc>
          <w:tcPr>
            <w:tcW w:type="dxa" w:w="3312"/>
            <w:shd w:fill="183B56"/>
            <w:tcMar>
              <w:top w:w="110" w:type="dxa"/>
              <w:start w:w="110" w:type="dxa"/>
              <w:bottom w:w="110" w:type="dxa"/>
              <w:end w:w="110" w:type="dxa"/>
            </w:tcMar>
          </w:tcPr>
          <w:p>
            <w:pPr>
              <w:jc w:val="center"/>
            </w:pPr>
            <w:r>
              <w:rPr>
                <w:b/>
                <w:color w:val="FFFFFF"/>
                <w:sz w:val="19"/>
              </w:rPr>
              <w:t>Enlace</w:t>
            </w:r>
          </w:p>
        </w:tc>
        <w:tc>
          <w:tcPr>
            <w:tcW w:type="dxa" w:w="3312"/>
            <w:shd w:fill="183B56"/>
            <w:tcMar>
              <w:top w:w="110" w:type="dxa"/>
              <w:start w:w="110" w:type="dxa"/>
              <w:bottom w:w="110" w:type="dxa"/>
              <w:end w:w="110" w:type="dxa"/>
            </w:tcMar>
          </w:tcPr>
          <w:p>
            <w:pPr>
              <w:jc w:val="center"/>
            </w:pPr>
            <w:r>
              <w:rPr>
                <w:b/>
                <w:color w:val="FFFFFF"/>
                <w:sz w:val="19"/>
              </w:rPr>
              <w:t>Uso</w:t>
            </w:r>
          </w:p>
        </w:tc>
      </w:tr>
      <w:tr>
        <w:trPr>
          <w:cantSplit/>
        </w:trPr>
        <w:tc>
          <w:tcPr>
            <w:tcW w:type="dxa" w:w="3312"/>
            <w:tcMar>
              <w:top w:w="110" w:type="dxa"/>
              <w:start w:w="110" w:type="dxa"/>
              <w:bottom w:w="110" w:type="dxa"/>
              <w:end w:w="110" w:type="dxa"/>
            </w:tcMar>
            <w:vAlign w:val="center"/>
          </w:tcPr>
          <w:p>
            <w:pPr>
              <w:spacing w:after="0"/>
            </w:pPr>
            <w:r>
              <w:rPr>
                <w:sz w:val="18"/>
              </w:rPr>
              <w:t>Administración local</w:t>
            </w:r>
          </w:p>
        </w:tc>
        <w:tc>
          <w:tcPr>
            <w:tcW w:type="dxa" w:w="3312"/>
            <w:tcMar>
              <w:top w:w="110" w:type="dxa"/>
              <w:start w:w="110" w:type="dxa"/>
              <w:bottom w:w="110" w:type="dxa"/>
              <w:end w:w="110" w:type="dxa"/>
            </w:tcMar>
            <w:vAlign w:val="center"/>
          </w:tcPr>
          <w:p>
            <w:r>
              <w:t>http://127.0.0.1:3000</w:t>
            </w:r>
          </w:p>
        </w:tc>
        <w:tc>
          <w:tcPr>
            <w:tcW w:type="dxa" w:w="3312"/>
            <w:tcMar>
              <w:top w:w="110" w:type="dxa"/>
              <w:start w:w="110" w:type="dxa"/>
              <w:bottom w:w="110" w:type="dxa"/>
              <w:end w:w="110" w:type="dxa"/>
            </w:tcMar>
            <w:vAlign w:val="center"/>
          </w:tcPr>
          <w:p>
            <w:r>
              <w:t>Solo desde la PC servidor; acceso como Administrador local</w:t>
            </w:r>
          </w:p>
        </w:tc>
      </w:tr>
      <w:tr>
        <w:trPr>
          <w:cantSplit/>
        </w:trPr>
        <w:tc>
          <w:tcPr>
            <w:tcW w:type="dxa" w:w="3312"/>
            <w:tcMar>
              <w:top w:w="110" w:type="dxa"/>
              <w:start w:w="110" w:type="dxa"/>
              <w:bottom w:w="110" w:type="dxa"/>
              <w:end w:w="110" w:type="dxa"/>
            </w:tcMar>
            <w:vAlign w:val="center"/>
            <w:shd w:fill="EAF3F8"/>
          </w:tcPr>
          <w:p>
            <w:pPr>
              <w:spacing w:after="0"/>
            </w:pPr>
            <w:r>
              <w:rPr>
                <w:sz w:val="18"/>
              </w:rPr>
              <w:t>Acceso de usuarios en LAN</w:t>
            </w:r>
          </w:p>
        </w:tc>
        <w:tc>
          <w:tcPr>
            <w:tcW w:type="dxa" w:w="3312"/>
            <w:tcMar>
              <w:top w:w="110" w:type="dxa"/>
              <w:start w:w="110" w:type="dxa"/>
              <w:bottom w:w="110" w:type="dxa"/>
              <w:end w:w="110" w:type="dxa"/>
            </w:tcMar>
            <w:vAlign w:val="center"/>
            <w:shd w:fill="EAF3F8"/>
          </w:tcPr>
          <w:p>
            <w:r>
              <w:t>https://192.168.190.146:3000</w:t>
            </w:r>
          </w:p>
        </w:tc>
        <w:tc>
          <w:tcPr>
            <w:tcW w:type="dxa" w:w="3312"/>
            <w:tcMar>
              <w:top w:w="110" w:type="dxa"/>
              <w:start w:w="110" w:type="dxa"/>
              <w:bottom w:w="110" w:type="dxa"/>
              <w:end w:w="110" w:type="dxa"/>
            </w:tcMar>
            <w:vAlign w:val="center"/>
            <w:shd w:fill="EAF3F8"/>
          </w:tcPr>
          <w:p>
            <w:r>
              <w:t>HTTPS; requiere certificado confiable cuyo SAN incluya el nombre o IP</w:t>
            </w:r>
          </w:p>
        </w:tc>
      </w:tr>
      <w:tr>
        <w:trPr>
          <w:cantSplit/>
        </w:trPr>
        <w:tc>
          <w:tcPr>
            <w:tcW w:type="dxa" w:w="3312"/>
            <w:tcMar>
              <w:top w:w="110" w:type="dxa"/>
              <w:start w:w="110" w:type="dxa"/>
              <w:bottom w:w="110" w:type="dxa"/>
              <w:end w:w="110" w:type="dxa"/>
            </w:tcMar>
            <w:vAlign w:val="center"/>
          </w:tcPr>
          <w:p>
            <w:pPr>
              <w:spacing w:after="0"/>
            </w:pPr>
            <w:r>
              <w:rPr>
                <w:sz w:val="18"/>
              </w:rPr>
              <w:t>Estado de la API</w:t>
            </w:r>
          </w:p>
        </w:tc>
        <w:tc>
          <w:tcPr>
            <w:tcW w:type="dxa" w:w="3312"/>
            <w:tcMar>
              <w:top w:w="110" w:type="dxa"/>
              <w:start w:w="110" w:type="dxa"/>
              <w:bottom w:w="110" w:type="dxa"/>
              <w:end w:w="110" w:type="dxa"/>
            </w:tcMar>
            <w:vAlign w:val="center"/>
          </w:tcPr>
          <w:p>
            <w:r>
              <w:t>https://192.168.190.146:8000/health</w:t>
            </w:r>
          </w:p>
        </w:tc>
        <w:tc>
          <w:tcPr>
            <w:tcW w:type="dxa" w:w="3312"/>
            <w:tcMar>
              <w:top w:w="110" w:type="dxa"/>
              <w:start w:w="110" w:type="dxa"/>
              <w:bottom w:w="110" w:type="dxa"/>
              <w:end w:w="110" w:type="dxa"/>
            </w:tcMar>
            <w:vAlign w:val="center"/>
          </w:tcPr>
          <w:p>
            <w:r>
              <w:t>Diagnóstico HTTPS; debe responder status ok</w:t>
            </w:r>
          </w:p>
        </w:tc>
      </w:tr>
      <w:tr>
        <w:trPr>
          <w:cantSplit/>
        </w:trPr>
        <w:tc>
          <w:tcPr>
            <w:tcW w:type="dxa" w:w="3312"/>
            <w:tcMar>
              <w:top w:w="110" w:type="dxa"/>
              <w:start w:w="110" w:type="dxa"/>
              <w:bottom w:w="110" w:type="dxa"/>
              <w:end w:w="110" w:type="dxa"/>
            </w:tcMar>
            <w:vAlign w:val="center"/>
            <w:shd w:fill="EAF3F8"/>
          </w:tcPr>
          <w:p>
            <w:pPr>
              <w:spacing w:after="0"/>
            </w:pPr>
            <w:r>
              <w:rPr>
                <w:sz w:val="18"/>
              </w:rPr>
              <w:t>Repositorio del proyecto</w:t>
            </w:r>
          </w:p>
        </w:tc>
        <w:tc>
          <w:tcPr>
            <w:tcW w:type="dxa" w:w="3312"/>
            <w:tcMar>
              <w:top w:w="110" w:type="dxa"/>
              <w:start w:w="110" w:type="dxa"/>
              <w:bottom w:w="110" w:type="dxa"/>
              <w:end w:w="110" w:type="dxa"/>
            </w:tcMar>
            <w:vAlign w:val="center"/>
            <w:shd w:fill="EAF3F8"/>
          </w:tcPr>
          <w:p>
            <w:pPr>
              <w:spacing w:after="0"/>
            </w:pPr>
            <w:hyperlink r:id="rId12">
              <w:r>
                <w:rPr>
                  <w:color w:val="0563C1"/>
                  <w:u w:val="single"/>
                </w:rPr>
                <w:t>https://github.com/GaryPoui/AnalizadorPlanillas</w:t>
              </w:r>
            </w:hyperlink>
          </w:p>
        </w:tc>
        <w:tc>
          <w:tcPr>
            <w:tcW w:type="dxa" w:w="3312"/>
            <w:tcMar>
              <w:top w:w="110" w:type="dxa"/>
              <w:start w:w="110" w:type="dxa"/>
              <w:bottom w:w="110" w:type="dxa"/>
              <w:end w:w="110" w:type="dxa"/>
            </w:tcMar>
            <w:vAlign w:val="center"/>
            <w:shd w:fill="EAF3F8"/>
          </w:tcPr>
          <w:p>
            <w:pPr>
              <w:spacing w:after="0"/>
            </w:pPr>
            <w:r>
              <w:rPr>
                <w:sz w:val="18"/>
              </w:rPr>
              <w:t>Código, historial y actualizaciones</w:t>
            </w:r>
          </w:p>
        </w:tc>
      </w:tr>
      <w:tr>
        <w:trPr>
          <w:cantSplit/>
        </w:trPr>
        <w:tc>
          <w:tcPr>
            <w:tcW w:type="dxa" w:w="3312"/>
            <w:tcMar>
              <w:top w:w="110" w:type="dxa"/>
              <w:start w:w="110" w:type="dxa"/>
              <w:bottom w:w="110" w:type="dxa"/>
              <w:end w:w="110" w:type="dxa"/>
            </w:tcMar>
            <w:vAlign w:val="center"/>
          </w:tcPr>
          <w:p>
            <w:pPr>
              <w:spacing w:after="0"/>
            </w:pPr>
            <w:r>
              <w:rPr>
                <w:sz w:val="18"/>
              </w:rPr>
              <w:t>Claves de Claude Platform</w:t>
            </w:r>
          </w:p>
        </w:tc>
        <w:tc>
          <w:tcPr>
            <w:tcW w:type="dxa" w:w="3312"/>
            <w:tcMar>
              <w:top w:w="110" w:type="dxa"/>
              <w:start w:w="110" w:type="dxa"/>
              <w:bottom w:w="110" w:type="dxa"/>
              <w:end w:w="110" w:type="dxa"/>
            </w:tcMar>
            <w:vAlign w:val="center"/>
          </w:tcPr>
          <w:p>
            <w:pPr>
              <w:spacing w:after="0"/>
            </w:pPr>
            <w:hyperlink r:id="rId13">
              <w:r>
                <w:rPr>
                  <w:color w:val="0563C1"/>
                  <w:u w:val="single"/>
                </w:rPr>
                <w:t>https://platform.claude.com/settings/keys</w:t>
              </w:r>
            </w:hyperlink>
          </w:p>
        </w:tc>
        <w:tc>
          <w:tcPr>
            <w:tcW w:type="dxa" w:w="3312"/>
            <w:tcMar>
              <w:top w:w="110" w:type="dxa"/>
              <w:start w:w="110" w:type="dxa"/>
              <w:bottom w:w="110" w:type="dxa"/>
              <w:end w:w="110" w:type="dxa"/>
            </w:tcMar>
            <w:vAlign w:val="center"/>
          </w:tcPr>
          <w:p>
            <w:pPr>
              <w:spacing w:after="0"/>
            </w:pPr>
            <w:r>
              <w:rPr>
                <w:sz w:val="18"/>
              </w:rPr>
              <w:t>Crear y rotar ANTHROPIC_API_KEY</w:t>
            </w:r>
          </w:p>
        </w:tc>
      </w:tr>
      <w:tr>
        <w:trPr>
          <w:cantSplit/>
        </w:trPr>
        <w:tc>
          <w:tcPr>
            <w:tcW w:type="dxa" w:w="3312"/>
            <w:tcMar>
              <w:top w:w="110" w:type="dxa"/>
              <w:start w:w="110" w:type="dxa"/>
              <w:bottom w:w="110" w:type="dxa"/>
              <w:end w:w="110" w:type="dxa"/>
            </w:tcMar>
            <w:vAlign w:val="center"/>
            <w:shd w:fill="EAF3F8"/>
          </w:tcPr>
          <w:p>
            <w:pPr>
              <w:spacing w:after="0"/>
            </w:pPr>
            <w:r>
              <w:rPr>
                <w:sz w:val="18"/>
              </w:rPr>
              <w:t>Facturación de Claude Platform</w:t>
            </w:r>
          </w:p>
        </w:tc>
        <w:tc>
          <w:tcPr>
            <w:tcW w:type="dxa" w:w="3312"/>
            <w:tcMar>
              <w:top w:w="110" w:type="dxa"/>
              <w:start w:w="110" w:type="dxa"/>
              <w:bottom w:w="110" w:type="dxa"/>
              <w:end w:w="110" w:type="dxa"/>
            </w:tcMar>
            <w:vAlign w:val="center"/>
            <w:shd w:fill="EAF3F8"/>
          </w:tcPr>
          <w:p>
            <w:pPr>
              <w:spacing w:after="0"/>
            </w:pPr>
            <w:hyperlink r:id="rId14">
              <w:r>
                <w:rPr>
                  <w:color w:val="0563C1"/>
                  <w:u w:val="single"/>
                </w:rPr>
                <w:t>https://platform.claude.com/settings/billing</w:t>
              </w:r>
            </w:hyperlink>
          </w:p>
        </w:tc>
        <w:tc>
          <w:tcPr>
            <w:tcW w:type="dxa" w:w="3312"/>
            <w:tcMar>
              <w:top w:w="110" w:type="dxa"/>
              <w:start w:w="110" w:type="dxa"/>
              <w:bottom w:w="110" w:type="dxa"/>
              <w:end w:w="110" w:type="dxa"/>
            </w:tcMar>
            <w:vAlign w:val="center"/>
            <w:shd w:fill="EAF3F8"/>
          </w:tcPr>
          <w:p>
            <w:pPr>
              <w:spacing w:after="0"/>
            </w:pPr>
            <w:r>
              <w:rPr>
                <w:sz w:val="18"/>
              </w:rPr>
              <w:t>Comprar créditos y configurar recarga</w:t>
            </w:r>
          </w:p>
        </w:tc>
      </w:tr>
      <w:tr>
        <w:trPr>
          <w:cantSplit/>
        </w:trPr>
        <w:tc>
          <w:tcPr>
            <w:tcW w:type="dxa" w:w="3312"/>
            <w:tcMar>
              <w:top w:w="110" w:type="dxa"/>
              <w:start w:w="110" w:type="dxa"/>
              <w:bottom w:w="110" w:type="dxa"/>
              <w:end w:w="110" w:type="dxa"/>
            </w:tcMar>
            <w:vAlign w:val="center"/>
          </w:tcPr>
          <w:p>
            <w:pPr>
              <w:spacing w:after="0"/>
            </w:pPr>
            <w:r>
              <w:rPr>
                <w:sz w:val="18"/>
              </w:rPr>
              <w:t>Uso de Claude Platform</w:t>
            </w:r>
          </w:p>
        </w:tc>
        <w:tc>
          <w:tcPr>
            <w:tcW w:type="dxa" w:w="3312"/>
            <w:tcMar>
              <w:top w:w="110" w:type="dxa"/>
              <w:start w:w="110" w:type="dxa"/>
              <w:bottom w:w="110" w:type="dxa"/>
              <w:end w:w="110" w:type="dxa"/>
            </w:tcMar>
            <w:vAlign w:val="center"/>
          </w:tcPr>
          <w:p>
            <w:pPr>
              <w:spacing w:after="0"/>
            </w:pPr>
            <w:hyperlink r:id="rId15">
              <w:r>
                <w:rPr>
                  <w:color w:val="0563C1"/>
                  <w:u w:val="single"/>
                </w:rPr>
                <w:t>https://platform.claude.com/usage</w:t>
              </w:r>
            </w:hyperlink>
          </w:p>
        </w:tc>
        <w:tc>
          <w:tcPr>
            <w:tcW w:type="dxa" w:w="3312"/>
            <w:tcMar>
              <w:top w:w="110" w:type="dxa"/>
              <w:start w:w="110" w:type="dxa"/>
              <w:bottom w:w="110" w:type="dxa"/>
              <w:end w:w="110" w:type="dxa"/>
            </w:tcMar>
            <w:vAlign w:val="center"/>
          </w:tcPr>
          <w:p>
            <w:pPr>
              <w:spacing w:after="0"/>
            </w:pPr>
            <w:r>
              <w:rPr>
                <w:sz w:val="18"/>
              </w:rPr>
              <w:t>Controlar tokens y costos</w:t>
            </w:r>
          </w:p>
        </w:tc>
      </w:tr>
      <w:tr>
        <w:trPr>
          <w:cantSplit/>
        </w:trPr>
        <w:tc>
          <w:tcPr>
            <w:tcW w:type="dxa" w:w="3312"/>
            <w:tcMar>
              <w:top w:w="110" w:type="dxa"/>
              <w:start w:w="110" w:type="dxa"/>
              <w:bottom w:w="110" w:type="dxa"/>
              <w:end w:w="110" w:type="dxa"/>
            </w:tcMar>
            <w:vAlign w:val="center"/>
            <w:shd w:fill="EAF3F8"/>
          </w:tcPr>
          <w:p>
            <w:pPr>
              <w:spacing w:after="0"/>
            </w:pPr>
            <w:r>
              <w:rPr>
                <w:sz w:val="18"/>
              </w:rPr>
              <w:t>Estado de Anthropic</w:t>
            </w:r>
          </w:p>
        </w:tc>
        <w:tc>
          <w:tcPr>
            <w:tcW w:type="dxa" w:w="3312"/>
            <w:tcMar>
              <w:top w:w="110" w:type="dxa"/>
              <w:start w:w="110" w:type="dxa"/>
              <w:bottom w:w="110" w:type="dxa"/>
              <w:end w:w="110" w:type="dxa"/>
            </w:tcMar>
            <w:vAlign w:val="center"/>
            <w:shd w:fill="EAF3F8"/>
          </w:tcPr>
          <w:p>
            <w:pPr>
              <w:spacing w:after="0"/>
            </w:pPr>
            <w:hyperlink r:id="rId16">
              <w:r>
                <w:rPr>
                  <w:color w:val="0563C1"/>
                  <w:u w:val="single"/>
                </w:rPr>
                <w:t>https://status.anthropic.com</w:t>
              </w:r>
            </w:hyperlink>
          </w:p>
        </w:tc>
        <w:tc>
          <w:tcPr>
            <w:tcW w:type="dxa" w:w="3312"/>
            <w:tcMar>
              <w:top w:w="110" w:type="dxa"/>
              <w:start w:w="110" w:type="dxa"/>
              <w:bottom w:w="110" w:type="dxa"/>
              <w:end w:w="110" w:type="dxa"/>
            </w:tcMar>
            <w:vAlign w:val="center"/>
            <w:shd w:fill="EAF3F8"/>
          </w:tcPr>
          <w:p>
            <w:pPr>
              <w:spacing w:after="0"/>
            </w:pPr>
            <w:r>
              <w:rPr>
                <w:sz w:val="18"/>
              </w:rPr>
              <w:t>Ver incidentes del proveedor</w:t>
            </w:r>
          </w:p>
        </w:tc>
      </w:tr>
      <w:tr>
        <w:trPr>
          <w:cantSplit/>
        </w:trPr>
        <w:tc>
          <w:tcPr>
            <w:tcW w:type="dxa" w:w="3312"/>
            <w:tcMar>
              <w:top w:w="110" w:type="dxa"/>
              <w:start w:w="110" w:type="dxa"/>
              <w:bottom w:w="110" w:type="dxa"/>
              <w:end w:w="110" w:type="dxa"/>
            </w:tcMar>
            <w:vAlign w:val="center"/>
          </w:tcPr>
          <w:p>
            <w:pPr>
              <w:spacing w:after="0"/>
            </w:pPr>
            <w:r>
              <w:rPr>
                <w:sz w:val="18"/>
              </w:rPr>
              <w:t>Contraseñas de aplicación Google</w:t>
            </w:r>
          </w:p>
        </w:tc>
        <w:tc>
          <w:tcPr>
            <w:tcW w:type="dxa" w:w="3312"/>
            <w:tcMar>
              <w:top w:w="110" w:type="dxa"/>
              <w:start w:w="110" w:type="dxa"/>
              <w:bottom w:w="110" w:type="dxa"/>
              <w:end w:w="110" w:type="dxa"/>
            </w:tcMar>
            <w:vAlign w:val="center"/>
          </w:tcPr>
          <w:p>
            <w:pPr>
              <w:spacing w:after="0"/>
            </w:pPr>
            <w:hyperlink r:id="rId17">
              <w:r>
                <w:rPr>
                  <w:color w:val="0563C1"/>
                  <w:u w:val="single"/>
                </w:rPr>
                <w:t>https://myaccount.google.com/apppasswords</w:t>
              </w:r>
            </w:hyperlink>
          </w:p>
        </w:tc>
        <w:tc>
          <w:tcPr>
            <w:tcW w:type="dxa" w:w="3312"/>
            <w:tcMar>
              <w:top w:w="110" w:type="dxa"/>
              <w:start w:w="110" w:type="dxa"/>
              <w:bottom w:w="110" w:type="dxa"/>
              <w:end w:w="110" w:type="dxa"/>
            </w:tcMar>
            <w:vAlign w:val="center"/>
          </w:tcPr>
          <w:p>
            <w:pPr>
              <w:spacing w:after="0"/>
            </w:pPr>
            <w:r>
              <w:rPr>
                <w:sz w:val="18"/>
              </w:rPr>
              <w:t>Rotar la credencial SMTP de Gmail</w:t>
            </w:r>
          </w:p>
        </w:tc>
      </w:tr>
    </w:tbl>
    <w:p>
      <w:pPr>
        <w:pStyle w:val="Heading2"/>
      </w:pPr>
      <w:r>
        <w:t>Acceso según el perfil</w:t>
      </w:r>
    </w:p>
    <w:p>
      <w:pPr>
        <w:spacing w:after="100"/>
      </w:pPr>
      <w:r>
        <w:t>Administración: en la PC servidor, abrir http://127.0.0.1:3000 y entrar en Usuarios. El acceso local funciona como administrador sin contraseña de PriceBot; proteger la PC con una cuenta Windows individual, bloqueo automático y disco cifrado. La administración de usuarios se rechaza desde otras computadoras.</w:t>
      </w:r>
    </w:p>
    <w:p>
      <w:pPr>
        <w:spacing w:after="100"/>
      </w:pPr>
      <w:r>
        <w:t>Usuarios: cada persona debe ser creada por Administración con su correo y contraseña individual. Debe confirmar el correo y luego ingresar desde https://192.168.190.146:3000. No hay una cuenta ni contraseña compartida por defecto.</w:t>
      </w:r>
    </w:p>
    <w:p>
      <w:pPr>
        <w:spacing w:after="100"/>
      </w:pPr>
      <w:r>
        <w:t>Antes del primer acceso remoto, TI debe obtener e instalar un certificado TLS confiable que incluya en SAN el nombre DNS usado por las PCs (o la IP privada exacta si la CA interna emite para IP). El lanzador exige HTTPS y cookies seguras; sin certificado válido, los clientes deben rechazar la conexión.</w:t>
      </w:r>
    </w:p>
    <w:p>
      <w:pPr>
        <w:spacing w:after="100"/>
      </w:pPr>
      <w:r>
        <w:t>Permitir los puertos 3000 y 8000 en el firewall de Windows solo para el perfil Privado y la subred autorizada; no publicarlos directamente en Internet. hardening.ps1 configura 192.168.190.0/24. El diagnóstico de API usa https://192.168.190.146:8000/health.</w:t>
      </w:r>
    </w:p>
    <w:p>
      <w:pPr>
        <w:spacing w:after="100"/>
      </w:pPr>
      <w:r>
        <w:t>Para que lleguen las confirmaciones, el servidor debe tener SMTP de Gmail configurado en pricebot/.env y PRICEBOT_PUBLIC_URL debe coincidir con la URL HTTPS usada por las PCs. La contraseña de aplicación permanece únicamente en el servidor.</w:t>
      </w:r>
    </w:p>
    <w:p>
      <w:pPr>
        <w:pStyle w:val="Heading2"/>
      </w:pPr>
      <w:r>
        <w:t>Cómo obtener e instalar el certificado TLS</w:t>
      </w:r>
    </w:p>
    <w:p>
      <w:pPr>
        <w:pStyle w:val="ListNumber"/>
      </w:pPr>
      <w:r>
        <w:t>Opción recomendada si la organización controla un dominio: crear un nombre como pricebot.dominio-de-la-organizacion.com y hacer que el DNS interno lo resuelva a 192.168.190.146. Solicitar un certificado público para ese nombre mediante ACME/Let's Encrypt y validación DNS-01. Este método permite mantener la aplicación solo en la LAN, sin abrir puertos entrantes en el router; se necesita acceso autorizado al DNS del dominio y renovación automática.</w:t>
      </w:r>
    </w:p>
    <w:p>
      <w:pPr>
        <w:pStyle w:val="ListNumber"/>
      </w:pPr>
      <w:r>
        <w:t>Let's Encrypt no emite certificados para la IP privada 192.168.190.146 ni para nombres internos no públicos. Si no hay un dominio controlado, TI debe usar una autoridad certificadora interna (por ejemplo, Caddy con CA interna o la PKI corporativa), emitir un certificado para un nombre DNS interno con SAN correcto e instalar de forma segura el certificado raíz de esa autoridad en cada PC autorizada. Sin esa instalación, los navegadores mostrarán una advertencia y no debe continuarse.</w:t>
      </w:r>
    </w:p>
    <w:p>
      <w:pPr>
        <w:pStyle w:val="ListNumber"/>
      </w:pPr>
      <w:r>
        <w:t>Instalación en PriceBot: guardar el certificado público y su clave privada fuera de Git, por ejemplo en C:\ProgramData\PriceBot\tls\. Restringir la ACL de la clave privada a la cuenta de servicio y administradores. Antes de iniciar, definir PRICEBOT_TLS_CERTFILE y PRICEBOT_TLS_KEYFILE con las rutas PEM, PRICEBOT_BIND_HOST=0.0.0.0, PRICEBOT_PUBLIC_URL=https://nombre-del-servidor:3000 y PRICEBOT_ALLOWED_ORIGINS con esa misma URL. La configuración también debe permitir https://nombre-del-servidor:8000 en PRICEBOT_CSP_CONNECT_SRC. Mantener PRICEBOT_REQUIRE_HTTPS=1 y PRICEBOT_COOKIE_SECURE=1.</w:t>
      </w:r>
    </w:p>
    <w:p>
      <w:pPr>
        <w:pStyle w:val="ListNumber"/>
      </w:pPr>
      <w:r>
        <w:t>Para que el doble clic en iniciar-servidor.bat use el certificado, TI debe guardar PRICEBOT_TLS_CERTFILE y PRICEBOT_TLS_KEYFILE en las variables de entorno de Windows (ámbito Equipo) con las rutas PEM. Si se usa un nombre DNS en vez de la IP, definir también PRICEBOT_PUBLIC_URL, PRICEBOT_ALLOWED_ORIGINS y PRICEBOT_CSP_CONNECT_SRC para ese nombre; el lanzador conserva esos valores. Abrir una consola nueva después del cambio. No guardar la clave privada dentro del repositorio.</w:t>
      </w:r>
    </w:p>
    <w:p>
      <w:pPr>
        <w:pStyle w:val="ListNumber"/>
      </w:pPr>
      <w:r>
        <w:t>Probar primero la URL HTTPS en el servidor y en cada PC autorizada: el nombre debe coincidir, la cadena debe ser confiable, no debe haber alertas y /health debe responder. Comprobar renovación antes del vencimiento. No compartir la clave privada por correo, chat ni repositorio.</w:t>
      </w:r>
    </w:p>
    <w:p/>
    <w:p>
      <w:pPr>
        <w:pStyle w:val="Heading1"/>
      </w:pPr>
      <w:r>
        <w:t>Inventario de cuentas y responsables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val="true"/>
          <w:cantSplit/>
        </w:trPr>
        <w:tc>
          <w:tcPr>
            <w:tcW w:type="dxa" w:w="1944"/>
            <w:shd w:fill="183B56"/>
            <w:tcMar>
              <w:top w:w="110" w:type="dxa"/>
              <w:start w:w="110" w:type="dxa"/>
              <w:bottom w:w="110" w:type="dxa"/>
              <w:end w:w="110" w:type="dxa"/>
            </w:tcMar>
            <w:vAlign w:val="center"/>
          </w:tcPr>
          <w:p>
            <w:pPr>
              <w:jc w:val="center"/>
            </w:pPr>
            <w:r>
              <w:rPr>
                <w:b/>
                <w:color w:val="FFFFFF"/>
                <w:sz w:val="19"/>
              </w:rPr>
              <w:t>Cuenta o rol</w:t>
            </w:r>
          </w:p>
        </w:tc>
        <w:tc>
          <w:tcPr>
            <w:tcW w:type="dxa" w:w="2592"/>
            <w:shd w:fill="183B56"/>
            <w:tcMar>
              <w:top w:w="110" w:type="dxa"/>
              <w:start w:w="110" w:type="dxa"/>
              <w:bottom w:w="110" w:type="dxa"/>
              <w:end w:w="110" w:type="dxa"/>
            </w:tcMar>
            <w:vAlign w:val="center"/>
          </w:tcPr>
          <w:p>
            <w:pPr>
              <w:jc w:val="center"/>
            </w:pPr>
            <w:r>
              <w:rPr>
                <w:b/>
                <w:color w:val="FFFFFF"/>
                <w:sz w:val="19"/>
              </w:rPr>
              <w:t>Identificador</w:t>
            </w:r>
          </w:p>
        </w:tc>
        <w:tc>
          <w:tcPr>
            <w:tcW w:type="dxa" w:w="3672"/>
            <w:shd w:fill="183B56"/>
            <w:tcMar>
              <w:top w:w="110" w:type="dxa"/>
              <w:start w:w="110" w:type="dxa"/>
              <w:bottom w:w="110" w:type="dxa"/>
              <w:end w:w="110" w:type="dxa"/>
            </w:tcMar>
            <w:vAlign w:val="center"/>
          </w:tcPr>
          <w:p>
            <w:pPr>
              <w:jc w:val="center"/>
            </w:pPr>
            <w:r>
              <w:rPr>
                <w:b/>
                <w:color w:val="FFFFFF"/>
                <w:sz w:val="19"/>
              </w:rPr>
              <w:t>Responsabilidad</w:t>
            </w:r>
          </w:p>
        </w:tc>
        <w:tc>
          <w:tcPr>
            <w:tcW w:type="dxa" w:w="1440"/>
            <w:shd w:fill="183B56"/>
            <w:tcMar>
              <w:top w:w="110" w:type="dxa"/>
              <w:start w:w="110" w:type="dxa"/>
              <w:bottom w:w="110" w:type="dxa"/>
              <w:end w:w="110" w:type="dxa"/>
            </w:tcMar>
            <w:vAlign w:val="center"/>
          </w:tcPr>
          <w:p>
            <w:pPr>
              <w:jc w:val="center"/>
            </w:pPr>
            <w:r>
              <w:rPr>
                <w:b/>
                <w:color w:val="FFFFFF"/>
                <w:sz w:val="19"/>
              </w:rPr>
              <w:t>Secreto documentado</w:t>
            </w:r>
          </w:p>
        </w:tc>
      </w:tr>
      <w:tr>
        <w:trPr>
          <w:cantSplit/>
        </w:trPr>
        <w:tc>
          <w:tcPr>
            <w:tcW w:type="dxa" w:w="1944"/>
            <w:tcMar>
              <w:top w:w="110" w:type="dxa"/>
              <w:start w:w="110" w:type="dxa"/>
              <w:bottom w:w="110" w:type="dxa"/>
              <w:end w:w="110" w:type="dxa"/>
            </w:tcMar>
            <w:vAlign w:val="center"/>
          </w:tcPr>
          <w:p>
            <w:pPr>
              <w:spacing w:after="0"/>
            </w:pPr>
            <w:r>
              <w:rPr>
                <w:sz w:val="19"/>
              </w:rPr>
              <w:t>Administrador local de PriceBot</w:t>
            </w:r>
          </w:p>
        </w:tc>
        <w:tc>
          <w:tcPr>
            <w:tcW w:type="dxa" w:w="2592"/>
            <w:tcMar>
              <w:top w:w="110" w:type="dxa"/>
              <w:start w:w="110" w:type="dxa"/>
              <w:bottom w:w="110" w:type="dxa"/>
              <w:end w:w="110" w:type="dxa"/>
            </w:tcMar>
            <w:vAlign w:val="center"/>
          </w:tcPr>
          <w:p>
            <w:pPr>
              <w:spacing w:after="0"/>
            </w:pPr>
            <w:r>
              <w:rPr>
                <w:sz w:val="19"/>
              </w:rPr>
              <w:t>Administrador local</w:t>
            </w:r>
          </w:p>
        </w:tc>
        <w:tc>
          <w:tcPr>
            <w:tcW w:type="dxa" w:w="3672"/>
            <w:tcMar>
              <w:top w:w="110" w:type="dxa"/>
              <w:start w:w="110" w:type="dxa"/>
              <w:bottom w:w="110" w:type="dxa"/>
              <w:end w:w="110" w:type="dxa"/>
            </w:tcMar>
            <w:vAlign w:val="center"/>
          </w:tcPr>
          <w:p>
            <w:pPr>
              <w:spacing w:after="0"/>
            </w:pPr>
            <w:r>
              <w:rPr>
                <w:sz w:val="19"/>
              </w:rPr>
              <w:t>Opera usuarios desde localhost en el servidor</w:t>
            </w:r>
          </w:p>
        </w:tc>
        <w:tc>
          <w:tcPr>
            <w:tcW w:type="dxa" w:w="1440"/>
            <w:tcMar>
              <w:top w:w="110" w:type="dxa"/>
              <w:start w:w="110" w:type="dxa"/>
              <w:bottom w:w="110" w:type="dxa"/>
              <w:end w:w="110" w:type="dxa"/>
            </w:tcMar>
            <w:vAlign w:val="center"/>
          </w:tcPr>
          <w:p>
            <w:pPr>
              <w:spacing w:after="0"/>
            </w:pPr>
            <w:r>
              <w:rPr>
                <w:sz w:val="19"/>
              </w:rPr>
              <w:t>No aplica</w:t>
            </w:r>
          </w:p>
        </w:tc>
      </w:tr>
      <w:tr>
        <w:trPr>
          <w:cantSplit/>
        </w:trPr>
        <w:tc>
          <w:tcPr>
            <w:tcW w:type="dxa" w:w="1944"/>
            <w:tcMar>
              <w:top w:w="110" w:type="dxa"/>
              <w:start w:w="110" w:type="dxa"/>
              <w:bottom w:w="110" w:type="dxa"/>
              <w:end w:w="110" w:type="dxa"/>
            </w:tcMar>
            <w:vAlign w:val="center"/>
            <w:shd w:fill="EAF3F8"/>
          </w:tcPr>
          <w:p>
            <w:pPr>
              <w:spacing w:after="0"/>
            </w:pPr>
            <w:r>
              <w:rPr>
                <w:sz w:val="19"/>
              </w:rPr>
              <w:t>Cuenta Windows del servidor</w:t>
            </w:r>
          </w:p>
        </w:tc>
        <w:tc>
          <w:tcPr>
            <w:tcW w:type="dxa" w:w="2592"/>
            <w:tcMar>
              <w:top w:w="110" w:type="dxa"/>
              <w:start w:w="110" w:type="dxa"/>
              <w:bottom w:w="110" w:type="dxa"/>
              <w:end w:w="110" w:type="dxa"/>
            </w:tcMar>
            <w:vAlign w:val="center"/>
            <w:shd w:fill="EAF3F8"/>
          </w:tcPr>
          <w:p>
            <w:pPr>
              <w:spacing w:after="0"/>
            </w:pPr>
            <w:r>
              <w:rPr>
                <w:sz w:val="19"/>
              </w:rPr>
              <w:t>Soporte</w:t>
            </w:r>
          </w:p>
        </w:tc>
        <w:tc>
          <w:tcPr>
            <w:tcW w:type="dxa" w:w="3672"/>
            <w:tcMar>
              <w:top w:w="110" w:type="dxa"/>
              <w:start w:w="110" w:type="dxa"/>
              <w:bottom w:w="110" w:type="dxa"/>
              <w:end w:w="110" w:type="dxa"/>
            </w:tcMar>
            <w:vAlign w:val="center"/>
            <w:shd w:fill="EAF3F8"/>
          </w:tcPr>
          <w:p>
            <w:pPr>
              <w:spacing w:after="0"/>
            </w:pPr>
            <w:r>
              <w:rPr>
                <w:sz w:val="19"/>
              </w:rPr>
              <w:t>Iniciar, actualizar y respaldar la aplicación</w:t>
            </w:r>
          </w:p>
        </w:tc>
        <w:tc>
          <w:tcPr>
            <w:tcW w:type="dxa" w:w="1440"/>
            <w:tcMar>
              <w:top w:w="110" w:type="dxa"/>
              <w:start w:w="110" w:type="dxa"/>
              <w:bottom w:w="110" w:type="dxa"/>
              <w:end w:w="110" w:type="dxa"/>
            </w:tcMar>
            <w:vAlign w:val="center"/>
            <w:shd w:fill="EAF3F8"/>
          </w:tcPr>
          <w:p>
            <w:pPr>
              <w:spacing w:after="0"/>
            </w:pPr>
            <w:r>
              <w:rPr>
                <w:sz w:val="19"/>
              </w:rPr>
              <w:t>No</w:t>
            </w:r>
          </w:p>
        </w:tc>
      </w:tr>
      <w:tr>
        <w:trPr>
          <w:cantSplit/>
        </w:trPr>
        <w:tc>
          <w:tcPr>
            <w:tcW w:type="dxa" w:w="1944"/>
            <w:tcMar>
              <w:top w:w="110" w:type="dxa"/>
              <w:start w:w="110" w:type="dxa"/>
              <w:bottom w:w="110" w:type="dxa"/>
              <w:end w:w="110" w:type="dxa"/>
            </w:tcMar>
            <w:vAlign w:val="center"/>
          </w:tcPr>
          <w:p>
            <w:pPr>
              <w:spacing w:after="0"/>
            </w:pPr>
            <w:r>
              <w:rPr>
                <w:sz w:val="19"/>
              </w:rPr>
              <w:t>Correo emisor SMTP</w:t>
            </w:r>
          </w:p>
        </w:tc>
        <w:tc>
          <w:tcPr>
            <w:tcW w:type="dxa" w:w="2592"/>
            <w:tcMar>
              <w:top w:w="110" w:type="dxa"/>
              <w:start w:w="110" w:type="dxa"/>
              <w:bottom w:w="110" w:type="dxa"/>
              <w:end w:w="110" w:type="dxa"/>
            </w:tcMar>
            <w:vAlign w:val="center"/>
          </w:tcPr>
          <w:p>
            <w:pPr>
              <w:spacing w:after="0"/>
            </w:pPr>
            <w:r>
              <w:rPr>
                <w:sz w:val="19"/>
              </w:rPr>
              <w:t>herni.wazi@gmail.com</w:t>
            </w:r>
          </w:p>
        </w:tc>
        <w:tc>
          <w:tcPr>
            <w:tcW w:type="dxa" w:w="3672"/>
            <w:tcMar>
              <w:top w:w="110" w:type="dxa"/>
              <w:start w:w="110" w:type="dxa"/>
              <w:bottom w:w="110" w:type="dxa"/>
              <w:end w:w="110" w:type="dxa"/>
            </w:tcMar>
            <w:vAlign w:val="center"/>
          </w:tcPr>
          <w:p>
            <w:pPr>
              <w:spacing w:after="0"/>
            </w:pPr>
            <w:r>
              <w:rPr>
                <w:sz w:val="19"/>
              </w:rPr>
              <w:t>Enviar confirmaciones de acceso</w:t>
            </w:r>
          </w:p>
        </w:tc>
        <w:tc>
          <w:tcPr>
            <w:tcW w:type="dxa" w:w="1440"/>
            <w:tcMar>
              <w:top w:w="110" w:type="dxa"/>
              <w:start w:w="110" w:type="dxa"/>
              <w:bottom w:w="110" w:type="dxa"/>
              <w:end w:w="110" w:type="dxa"/>
            </w:tcMar>
            <w:vAlign w:val="center"/>
          </w:tcPr>
          <w:p>
            <w:pPr>
              <w:spacing w:after="0"/>
            </w:pPr>
            <w:r>
              <w:rPr>
                <w:sz w:val="19"/>
              </w:rPr>
              <w:t>No; usar contraseña de aplicación</w:t>
            </w:r>
          </w:p>
        </w:tc>
      </w:tr>
      <w:tr>
        <w:trPr>
          <w:cantSplit/>
        </w:trPr>
        <w:tc>
          <w:tcPr>
            <w:tcW w:type="dxa" w:w="1944"/>
            <w:tcMar>
              <w:top w:w="110" w:type="dxa"/>
              <w:start w:w="110" w:type="dxa"/>
              <w:bottom w:w="110" w:type="dxa"/>
              <w:end w:w="110" w:type="dxa"/>
            </w:tcMar>
            <w:vAlign w:val="center"/>
            <w:shd w:fill="EAF3F8"/>
          </w:tcPr>
          <w:p>
            <w:pPr>
              <w:spacing w:after="0"/>
            </w:pPr>
            <w:r>
              <w:rPr>
                <w:sz w:val="19"/>
              </w:rPr>
              <w:t>Usuarios finales</w:t>
            </w:r>
          </w:p>
        </w:tc>
        <w:tc>
          <w:tcPr>
            <w:tcW w:type="dxa" w:w="2592"/>
            <w:tcMar>
              <w:top w:w="110" w:type="dxa"/>
              <w:start w:w="110" w:type="dxa"/>
              <w:bottom w:w="110" w:type="dxa"/>
              <w:end w:w="110" w:type="dxa"/>
            </w:tcMar>
            <w:vAlign w:val="center"/>
            <w:shd w:fill="EAF3F8"/>
          </w:tcPr>
          <w:p>
            <w:pPr>
              <w:spacing w:after="0"/>
            </w:pPr>
            <w:r>
              <w:rPr>
                <w:sz w:val="19"/>
              </w:rPr>
              <w:t>Correos visibles en la pestaña Usuarios</w:t>
            </w:r>
          </w:p>
        </w:tc>
        <w:tc>
          <w:tcPr>
            <w:tcW w:type="dxa" w:w="3672"/>
            <w:tcMar>
              <w:top w:w="110" w:type="dxa"/>
              <w:start w:w="110" w:type="dxa"/>
              <w:bottom w:w="110" w:type="dxa"/>
              <w:end w:w="110" w:type="dxa"/>
            </w:tcMar>
            <w:vAlign w:val="center"/>
            <w:shd w:fill="EAF3F8"/>
          </w:tcPr>
          <w:p>
            <w:pPr>
              <w:spacing w:after="0"/>
            </w:pPr>
            <w:r>
              <w:rPr>
                <w:sz w:val="19"/>
              </w:rPr>
              <w:t>Ingresar desde otras PCs</w:t>
            </w:r>
          </w:p>
        </w:tc>
        <w:tc>
          <w:tcPr>
            <w:tcW w:type="dxa" w:w="1440"/>
            <w:tcMar>
              <w:top w:w="110" w:type="dxa"/>
              <w:start w:w="110" w:type="dxa"/>
              <w:bottom w:w="110" w:type="dxa"/>
              <w:end w:w="110" w:type="dxa"/>
            </w:tcMar>
            <w:vAlign w:val="center"/>
            <w:shd w:fill="EAF3F8"/>
          </w:tcPr>
          <w:p>
            <w:pPr>
              <w:spacing w:after="0"/>
            </w:pPr>
            <w:r>
              <w:rPr>
                <w:sz w:val="19"/>
              </w:rPr>
              <w:t>No; las contraseñas no son recuperables</w:t>
            </w:r>
          </w:p>
        </w:tc>
      </w:tr>
      <w:tr>
        <w:trPr>
          <w:cantSplit/>
        </w:trPr>
        <w:tc>
          <w:tcPr>
            <w:tcW w:type="dxa" w:w="1944"/>
            <w:tcMar>
              <w:top w:w="110" w:type="dxa"/>
              <w:start w:w="110" w:type="dxa"/>
              <w:bottom w:w="110" w:type="dxa"/>
              <w:end w:w="110" w:type="dxa"/>
            </w:tcMar>
            <w:vAlign w:val="center"/>
          </w:tcPr>
          <w:p>
            <w:pPr>
              <w:spacing w:after="0"/>
            </w:pPr>
            <w:r>
              <w:rPr>
                <w:sz w:val="19"/>
              </w:rPr>
              <w:t>Claude Platform</w:t>
            </w:r>
          </w:p>
        </w:tc>
        <w:tc>
          <w:tcPr>
            <w:tcW w:type="dxa" w:w="2592"/>
            <w:tcMar>
              <w:top w:w="110" w:type="dxa"/>
              <w:start w:w="110" w:type="dxa"/>
              <w:bottom w:w="110" w:type="dxa"/>
              <w:end w:w="110" w:type="dxa"/>
            </w:tcMar>
            <w:vAlign w:val="center"/>
          </w:tcPr>
          <w:p>
            <w:pPr>
              <w:spacing w:after="0"/>
            </w:pPr>
            <w:r>
              <w:rPr>
                <w:sz w:val="19"/>
              </w:rPr>
              <w:t>Titular a registrar por Administración</w:t>
            </w:r>
          </w:p>
        </w:tc>
        <w:tc>
          <w:tcPr>
            <w:tcW w:type="dxa" w:w="3672"/>
            <w:tcMar>
              <w:top w:w="110" w:type="dxa"/>
              <w:start w:w="110" w:type="dxa"/>
              <w:bottom w:w="110" w:type="dxa"/>
              <w:end w:w="110" w:type="dxa"/>
            </w:tcMar>
            <w:vAlign w:val="center"/>
          </w:tcPr>
          <w:p>
            <w:pPr>
              <w:spacing w:after="0"/>
            </w:pPr>
            <w:r>
              <w:rPr>
                <w:sz w:val="19"/>
              </w:rPr>
              <w:t>Claves API, créditos, facturación y uso</w:t>
            </w:r>
          </w:p>
        </w:tc>
        <w:tc>
          <w:tcPr>
            <w:tcW w:type="dxa" w:w="1440"/>
            <w:tcMar>
              <w:top w:w="110" w:type="dxa"/>
              <w:start w:w="110" w:type="dxa"/>
              <w:bottom w:w="110" w:type="dxa"/>
              <w:end w:w="110" w:type="dxa"/>
            </w:tcMar>
            <w:vAlign w:val="center"/>
          </w:tcPr>
          <w:p>
            <w:pPr>
              <w:spacing w:after="0"/>
            </w:pPr>
            <w:r>
              <w:rPr>
                <w:sz w:val="19"/>
              </w:rPr>
              <w:t>No</w:t>
            </w:r>
          </w:p>
        </w:tc>
      </w:tr>
      <w:tr>
        <w:trPr>
          <w:cantSplit/>
        </w:trPr>
        <w:tc>
          <w:tcPr>
            <w:tcW w:type="dxa" w:w="1944"/>
            <w:tcMar>
              <w:top w:w="110" w:type="dxa"/>
              <w:start w:w="110" w:type="dxa"/>
              <w:bottom w:w="110" w:type="dxa"/>
              <w:end w:w="110" w:type="dxa"/>
            </w:tcMar>
            <w:vAlign w:val="center"/>
            <w:shd w:fill="EAF3F8"/>
          </w:tcPr>
          <w:p>
            <w:pPr>
              <w:spacing w:after="0"/>
            </w:pPr>
            <w:r>
              <w:rPr>
                <w:sz w:val="19"/>
              </w:rPr>
              <w:t>GitHub</w:t>
            </w:r>
          </w:p>
        </w:tc>
        <w:tc>
          <w:tcPr>
            <w:tcW w:type="dxa" w:w="2592"/>
            <w:tcMar>
              <w:top w:w="110" w:type="dxa"/>
              <w:start w:w="110" w:type="dxa"/>
              <w:bottom w:w="110" w:type="dxa"/>
              <w:end w:w="110" w:type="dxa"/>
            </w:tcMar>
            <w:vAlign w:val="center"/>
            <w:shd w:fill="EAF3F8"/>
          </w:tcPr>
          <w:p>
            <w:pPr>
              <w:spacing w:after="0"/>
            </w:pPr>
            <w:r>
              <w:rPr>
                <w:sz w:val="19"/>
              </w:rPr>
              <w:t>Repositorio GaryPoui AnalizadorPlanillas</w:t>
            </w:r>
          </w:p>
        </w:tc>
        <w:tc>
          <w:tcPr>
            <w:tcW w:type="dxa" w:w="3672"/>
            <w:tcMar>
              <w:top w:w="110" w:type="dxa"/>
              <w:start w:w="110" w:type="dxa"/>
              <w:bottom w:w="110" w:type="dxa"/>
              <w:end w:w="110" w:type="dxa"/>
            </w:tcMar>
            <w:vAlign w:val="center"/>
            <w:shd w:fill="EAF3F8"/>
          </w:tcPr>
          <w:p>
            <w:pPr>
              <w:spacing w:after="0"/>
            </w:pPr>
            <w:r>
              <w:rPr>
                <w:sz w:val="19"/>
              </w:rPr>
              <w:t>Actualizar el código y conservar historial</w:t>
            </w:r>
          </w:p>
        </w:tc>
        <w:tc>
          <w:tcPr>
            <w:tcW w:type="dxa" w:w="1440"/>
            <w:tcMar>
              <w:top w:w="110" w:type="dxa"/>
              <w:start w:w="110" w:type="dxa"/>
              <w:bottom w:w="110" w:type="dxa"/>
              <w:end w:w="110" w:type="dxa"/>
            </w:tcMar>
            <w:vAlign w:val="center"/>
            <w:shd w:fill="EAF3F8"/>
          </w:tcPr>
          <w:p>
            <w:pPr>
              <w:spacing w:after="0"/>
            </w:pPr>
            <w:r>
              <w:rPr>
                <w:sz w:val="19"/>
              </w:rPr>
              <w:t>No</w:t>
            </w:r>
          </w:p>
        </w:tc>
      </w:tr>
    </w:tbl>
    <w:p>
      <w:pPr>
        <w:spacing w:after="40"/>
      </w:pPr>
    </w:p>
    <w:p>
      <w:r>
        <w:t>Administración debe completar fuera de este documento el titular, correo de recuperación y doble factor de Claude Platform y GitHub. Las claves deben guardarse en el gestor de secretos corporativo o directamente en pricebot\.env con permisos restringidos.</w:t>
      </w:r>
    </w:p>
    <w:p>
      <w:pPr>
        <w:pStyle w:val="Heading1"/>
      </w:pPr>
      <w:r>
        <w:t>Inicio y detención del servidor</w:t>
      </w:r>
    </w:p>
    <w:p>
      <w:pPr>
        <w:spacing w:after="60"/>
        <w:ind w:left="403" w:hanging="403"/>
      </w:pPr>
      <w:r>
        <w:t>1. Iniciar sesión en Windows en la computadora servidor.</w:t>
      </w:r>
    </w:p>
    <w:p>
      <w:pPr>
        <w:spacing w:after="60"/>
        <w:ind w:left="403" w:hanging="403"/>
      </w:pPr>
      <w:r>
        <w:t>2. Abrir C:\Users\Soporte\Documents\AnalizadorPlanillas.</w:t>
      </w:r>
    </w:p>
    <w:p>
      <w:pPr>
        <w:spacing w:after="60"/>
        <w:ind w:left="403" w:hanging="403"/>
      </w:pPr>
      <w:r>
        <w:t>3. Hacer doble clic en iniciar-servidor.bat y mantener abiertas las ventanas del backend y frontend.</w:t>
      </w:r>
    </w:p>
    <w:p>
      <w:pPr>
        <w:spacing w:after="60"/>
        <w:ind w:left="403" w:hanging="403"/>
      </w:pPr>
      <w:r>
        <w:t>4. Abrir http://127.0.0.1:3000 en el servidor y la URL HTTPS configurada para el certificado desde una PC autorizada.</w:t>
      </w:r>
    </w:p>
    <w:p>
      <w:pPr>
        <w:spacing w:after="60"/>
        <w:ind w:left="403" w:hanging="403"/>
      </w:pPr>
      <w:r>
        <w:t>5. Verificar que /health responda status ok antes de habilitar el uso.</w:t>
      </w:r>
    </w:p>
    <w:p>
      <w:r>
        <w:t>Para detener el servicio, cerrar las ventanas iniciadas por PriceBot. No apagar la PC mientras haya extracciones activas. Después de un reinicio de Windows, ejecutar nuevamente el lanzador.</w:t>
      </w:r>
    </w:p>
    <w:p>
      <w:pPr>
        <w:pStyle w:val="Heading1"/>
      </w:pPr>
      <w:r>
        <w:t>Uso diario</w:t>
      </w:r>
    </w:p>
    <w:p>
      <w:pPr>
        <w:spacing w:after="60"/>
        <w:ind w:left="403" w:hanging="403"/>
      </w:pPr>
      <w:r>
        <w:t>1. Ingresar a la URL correspondiente. Los usuarios remotos deben usar correo y contraseña.</w:t>
      </w:r>
    </w:p>
    <w:p>
      <w:pPr>
        <w:spacing w:after="60"/>
        <w:ind w:left="403" w:hanging="403"/>
      </w:pPr>
      <w:r>
        <w:t>2. Seleccionar o arrastrar uno o más archivos admitidos.</w:t>
      </w:r>
    </w:p>
    <w:p>
      <w:pPr>
        <w:spacing w:after="60"/>
        <w:ind w:left="403" w:hanging="403"/>
      </w:pPr>
      <w:r>
        <w:t>3. Indicar CUIT cuando corresponda y ejecutar la extracción.</w:t>
      </w:r>
    </w:p>
    <w:p>
      <w:pPr>
        <w:spacing w:after="60"/>
        <w:ind w:left="403" w:hanging="403"/>
      </w:pPr>
      <w:r>
        <w:t>4. Revisar cantidad de filas, calidad, advertencias y filas enviadas a revisión.</w:t>
      </w:r>
    </w:p>
    <w:p>
      <w:pPr>
        <w:spacing w:after="60"/>
        <w:ind w:left="403" w:hanging="403"/>
      </w:pPr>
      <w:r>
        <w:t>5. Descargar XLSX o XLS y validar una muestra contra el documento original antes de importarla.</w:t>
      </w:r>
    </w:p>
    <w:p>
      <w:pPr>
        <w:spacing w:after="60"/>
        <w:ind w:left="403" w:hanging="403"/>
      </w:pPr>
      <w:r>
        <w:t>6. Eliminar copias locales innecesarias y no reenviar documentos confidenciales por canales no autorizados.</w:t>
      </w:r>
    </w:p>
    <w:p>
      <w:pPr>
        <w:pStyle w:val="Heading2"/>
      </w:pPr>
      <w:r>
        <w:t>Formatos y tratamiento de datos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val="true"/>
          <w:cantSplit/>
        </w:trPr>
        <w:tc>
          <w:tcPr>
            <w:tcW w:type="dxa" w:w="1656"/>
            <w:shd w:fill="183B56"/>
            <w:tcMar>
              <w:top w:w="110" w:type="dxa"/>
              <w:start w:w="110" w:type="dxa"/>
              <w:bottom w:w="110" w:type="dxa"/>
              <w:end w:w="110" w:type="dxa"/>
            </w:tcMar>
            <w:vAlign w:val="center"/>
          </w:tcPr>
          <w:p>
            <w:pPr>
              <w:jc w:val="center"/>
            </w:pPr>
            <w:r>
              <w:rPr>
                <w:b/>
                <w:color w:val="FFFFFF"/>
                <w:sz w:val="19"/>
              </w:rPr>
              <w:t>Formato</w:t>
            </w:r>
          </w:p>
        </w:tc>
        <w:tc>
          <w:tcPr>
            <w:tcW w:type="dxa" w:w="3096"/>
            <w:shd w:fill="183B56"/>
            <w:tcMar>
              <w:top w:w="110" w:type="dxa"/>
              <w:start w:w="110" w:type="dxa"/>
              <w:bottom w:w="110" w:type="dxa"/>
              <w:end w:w="110" w:type="dxa"/>
            </w:tcMar>
            <w:vAlign w:val="center"/>
          </w:tcPr>
          <w:p>
            <w:pPr>
              <w:jc w:val="center"/>
            </w:pPr>
            <w:r>
              <w:rPr>
                <w:b/>
                <w:color w:val="FFFFFF"/>
                <w:sz w:val="19"/>
              </w:rPr>
              <w:t>Procesamiento</w:t>
            </w:r>
          </w:p>
        </w:tc>
        <w:tc>
          <w:tcPr>
            <w:tcW w:type="dxa" w:w="1944"/>
            <w:shd w:fill="183B56"/>
            <w:tcMar>
              <w:top w:w="110" w:type="dxa"/>
              <w:start w:w="110" w:type="dxa"/>
              <w:bottom w:w="110" w:type="dxa"/>
              <w:end w:w="110" w:type="dxa"/>
            </w:tcMar>
            <w:vAlign w:val="center"/>
          </w:tcPr>
          <w:p>
            <w:pPr>
              <w:jc w:val="center"/>
            </w:pPr>
            <w:r>
              <w:rPr>
                <w:b/>
                <w:color w:val="FFFFFF"/>
                <w:sz w:val="19"/>
              </w:rPr>
              <w:t>IA externa</w:t>
            </w:r>
          </w:p>
        </w:tc>
        <w:tc>
          <w:tcPr>
            <w:tcW w:type="dxa" w:w="2952"/>
            <w:shd w:fill="183B56"/>
            <w:tcMar>
              <w:top w:w="110" w:type="dxa"/>
              <w:start w:w="110" w:type="dxa"/>
              <w:bottom w:w="110" w:type="dxa"/>
              <w:end w:w="110" w:type="dxa"/>
            </w:tcMar>
            <w:vAlign w:val="center"/>
          </w:tcPr>
          <w:p>
            <w:pPr>
              <w:jc w:val="center"/>
            </w:pPr>
            <w:r>
              <w:rPr>
                <w:b/>
                <w:color w:val="FFFFFF"/>
                <w:sz w:val="19"/>
              </w:rPr>
              <w:t>Control principal</w:t>
            </w:r>
          </w:p>
        </w:tc>
      </w:tr>
      <w:tr>
        <w:trPr>
          <w:cantSplit/>
        </w:trPr>
        <w:tc>
          <w:tcPr>
            <w:tcW w:type="dxa" w:w="1656"/>
            <w:tcMar>
              <w:top w:w="110" w:type="dxa"/>
              <w:start w:w="110" w:type="dxa"/>
              <w:bottom w:w="110" w:type="dxa"/>
              <w:end w:w="110" w:type="dxa"/>
            </w:tcMar>
            <w:vAlign w:val="center"/>
          </w:tcPr>
          <w:p>
            <w:pPr>
              <w:spacing w:after="0"/>
            </w:pPr>
            <w:r>
              <w:rPr>
                <w:sz w:val="19"/>
              </w:rPr>
              <w:t>XLS XLSX XLSM CSV</w:t>
            </w:r>
          </w:p>
        </w:tc>
        <w:tc>
          <w:tcPr>
            <w:tcW w:type="dxa" w:w="3096"/>
            <w:tcMar>
              <w:top w:w="110" w:type="dxa"/>
              <w:start w:w="110" w:type="dxa"/>
              <w:bottom w:w="110" w:type="dxa"/>
              <w:end w:w="110" w:type="dxa"/>
            </w:tcMar>
            <w:vAlign w:val="center"/>
          </w:tcPr>
          <w:p>
            <w:pPr>
              <w:spacing w:after="0"/>
            </w:pPr>
            <w:r>
              <w:rPr>
                <w:sz w:val="19"/>
              </w:rPr>
              <w:t>Local con pandas y librerías de Excel</w:t>
            </w:r>
          </w:p>
        </w:tc>
        <w:tc>
          <w:tcPr>
            <w:tcW w:type="dxa" w:w="1944"/>
            <w:tcMar>
              <w:top w:w="110" w:type="dxa"/>
              <w:start w:w="110" w:type="dxa"/>
              <w:bottom w:w="110" w:type="dxa"/>
              <w:end w:w="110" w:type="dxa"/>
            </w:tcMar>
            <w:vAlign w:val="center"/>
          </w:tcPr>
          <w:p>
            <w:pPr>
              <w:spacing w:after="0"/>
            </w:pPr>
            <w:r>
              <w:rPr>
                <w:sz w:val="19"/>
              </w:rPr>
              <w:t>No por defecto</w:t>
            </w:r>
          </w:p>
        </w:tc>
        <w:tc>
          <w:tcPr>
            <w:tcW w:type="dxa" w:w="2952"/>
            <w:tcMar>
              <w:top w:w="110" w:type="dxa"/>
              <w:start w:w="110" w:type="dxa"/>
              <w:bottom w:w="110" w:type="dxa"/>
              <w:end w:w="110" w:type="dxa"/>
            </w:tcMar>
            <w:vAlign w:val="center"/>
          </w:tcPr>
          <w:p>
            <w:pPr>
              <w:spacing w:after="0"/>
            </w:pPr>
            <w:r>
              <w:rPr>
                <w:sz w:val="19"/>
              </w:rPr>
              <w:t>Firma, estructura ZIP, tamaño y fórmulas de salida</w:t>
            </w:r>
          </w:p>
        </w:tc>
      </w:tr>
      <w:tr>
        <w:trPr>
          <w:cantSplit/>
        </w:trPr>
        <w:tc>
          <w:tcPr>
            <w:tcW w:type="dxa" w:w="1656"/>
            <w:tcMar>
              <w:top w:w="110" w:type="dxa"/>
              <w:start w:w="110" w:type="dxa"/>
              <w:bottom w:w="110" w:type="dxa"/>
              <w:end w:w="110" w:type="dxa"/>
            </w:tcMar>
            <w:vAlign w:val="center"/>
            <w:shd w:fill="EAF3F8"/>
          </w:tcPr>
          <w:p>
            <w:pPr>
              <w:spacing w:after="0"/>
            </w:pPr>
            <w:r>
              <w:rPr>
                <w:sz w:val="19"/>
              </w:rPr>
              <w:t>PDF</w:t>
            </w:r>
          </w:p>
        </w:tc>
        <w:tc>
          <w:tcPr>
            <w:tcW w:type="dxa" w:w="3096"/>
            <w:tcMar>
              <w:top w:w="110" w:type="dxa"/>
              <w:start w:w="110" w:type="dxa"/>
              <w:bottom w:w="110" w:type="dxa"/>
              <w:end w:w="110" w:type="dxa"/>
            </w:tcMar>
            <w:vAlign w:val="center"/>
            <w:shd w:fill="EAF3F8"/>
          </w:tcPr>
          <w:p>
            <w:pPr>
              <w:spacing w:after="0"/>
            </w:pPr>
            <w:r>
              <w:rPr>
                <w:sz w:val="19"/>
              </w:rPr>
              <w:t>Texto tablas y reglas locales; complemento opcional</w:t>
            </w:r>
          </w:p>
        </w:tc>
        <w:tc>
          <w:tcPr>
            <w:tcW w:type="dxa" w:w="1944"/>
            <w:tcMar>
              <w:top w:w="110" w:type="dxa"/>
              <w:start w:w="110" w:type="dxa"/>
              <w:bottom w:w="110" w:type="dxa"/>
              <w:end w:w="110" w:type="dxa"/>
            </w:tcMar>
            <w:vAlign w:val="center"/>
            <w:shd w:fill="EAF3F8"/>
          </w:tcPr>
          <w:p>
            <w:pPr>
              <w:spacing w:after="0"/>
            </w:pPr>
            <w:r>
              <w:rPr>
                <w:sz w:val="19"/>
              </w:rPr>
              <w:t>Solo si está autorizada</w:t>
            </w:r>
          </w:p>
        </w:tc>
        <w:tc>
          <w:tcPr>
            <w:tcW w:type="dxa" w:w="2952"/>
            <w:tcMar>
              <w:top w:w="110" w:type="dxa"/>
              <w:start w:w="110" w:type="dxa"/>
              <w:bottom w:w="110" w:type="dxa"/>
              <w:end w:w="110" w:type="dxa"/>
            </w:tcMar>
            <w:vAlign w:val="center"/>
            <w:shd w:fill="EAF3F8"/>
          </w:tcPr>
          <w:p>
            <w:pPr>
              <w:spacing w:after="0"/>
            </w:pPr>
            <w:r>
              <w:rPr>
                <w:sz w:val="19"/>
              </w:rPr>
              <w:t>Firma, tamaño, páginas y tiempo máximo</w:t>
            </w:r>
          </w:p>
        </w:tc>
      </w:tr>
      <w:tr>
        <w:trPr>
          <w:cantSplit/>
        </w:trPr>
        <w:tc>
          <w:tcPr>
            <w:tcW w:type="dxa" w:w="1656"/>
            <w:tcMar>
              <w:top w:w="110" w:type="dxa"/>
              <w:start w:w="110" w:type="dxa"/>
              <w:bottom w:w="110" w:type="dxa"/>
              <w:end w:w="110" w:type="dxa"/>
            </w:tcMar>
            <w:vAlign w:val="center"/>
          </w:tcPr>
          <w:p>
            <w:pPr>
              <w:spacing w:after="0"/>
            </w:pPr>
            <w:r>
              <w:rPr>
                <w:sz w:val="19"/>
              </w:rPr>
              <w:t>JPG JPEG PNG WEBP</w:t>
            </w:r>
          </w:p>
        </w:tc>
        <w:tc>
          <w:tcPr>
            <w:tcW w:type="dxa" w:w="3096"/>
            <w:tcMar>
              <w:top w:w="110" w:type="dxa"/>
              <w:start w:w="110" w:type="dxa"/>
              <w:bottom w:w="110" w:type="dxa"/>
              <w:end w:w="110" w:type="dxa"/>
            </w:tcMar>
            <w:vAlign w:val="center"/>
          </w:tcPr>
          <w:p>
            <w:pPr>
              <w:spacing w:after="0"/>
            </w:pPr>
            <w:r>
              <w:rPr>
                <w:sz w:val="19"/>
              </w:rPr>
              <w:t>Lectura de imagen y visión</w:t>
            </w:r>
          </w:p>
        </w:tc>
        <w:tc>
          <w:tcPr>
            <w:tcW w:type="dxa" w:w="1944"/>
            <w:tcMar>
              <w:top w:w="110" w:type="dxa"/>
              <w:start w:w="110" w:type="dxa"/>
              <w:bottom w:w="110" w:type="dxa"/>
              <w:end w:w="110" w:type="dxa"/>
            </w:tcMar>
            <w:vAlign w:val="center"/>
          </w:tcPr>
          <w:p>
            <w:pPr>
              <w:spacing w:after="0"/>
            </w:pPr>
            <w:r>
              <w:rPr>
                <w:sz w:val="19"/>
              </w:rPr>
              <w:t>Normalmente necesaria</w:t>
            </w:r>
          </w:p>
        </w:tc>
        <w:tc>
          <w:tcPr>
            <w:tcW w:type="dxa" w:w="2952"/>
            <w:tcMar>
              <w:top w:w="110" w:type="dxa"/>
              <w:start w:w="110" w:type="dxa"/>
              <w:bottom w:w="110" w:type="dxa"/>
              <w:end w:w="110" w:type="dxa"/>
            </w:tcMar>
            <w:vAlign w:val="center"/>
          </w:tcPr>
          <w:p>
            <w:pPr>
              <w:spacing w:after="0"/>
            </w:pPr>
            <w:r>
              <w:rPr>
                <w:sz w:val="19"/>
              </w:rPr>
              <w:t>Firma, integridad y límite de píxeles</w:t>
            </w:r>
          </w:p>
        </w:tc>
      </w:tr>
    </w:tbl>
    <w:p>
      <w:pPr>
        <w:spacing w:after="40"/>
      </w:pPr>
    </w:p>
    <w:p>
      <w:pPr>
        <w:pStyle w:val="Heading1"/>
      </w:pPr>
      <w:r>
        <w:t>Administración de usuarios</w:t>
      </w:r>
    </w:p>
    <w:p>
      <w:r>
        <w:t>En la PC servidor, abrir http://127.0.0.1:3000 y entrar en Usuarios. La pestaña y sus endpoints solo aceptan solicitudes cuyo origen real y encabezado Host sean de loopback.</w:t>
      </w:r>
    </w:p>
    <w:p>
      <w:pPr>
        <w:pStyle w:val="Heading2"/>
      </w:pPr>
      <w:r>
        <w:t>Crear un usuario</w:t>
      </w:r>
    </w:p>
    <w:p>
      <w:pPr>
        <w:spacing w:after="60"/>
        <w:ind w:left="403" w:hanging="403"/>
      </w:pPr>
      <w:r>
        <w:t>1. Ingresar el correo y una contraseña inicial de al menos 10 caracteres.</w:t>
      </w:r>
    </w:p>
    <w:p>
      <w:pPr>
        <w:spacing w:after="60"/>
        <w:ind w:left="403" w:hanging="403"/>
      </w:pPr>
      <w:r>
        <w:t>2. Seleccionar Crear y enviar confirmación.</w:t>
      </w:r>
    </w:p>
    <w:p>
      <w:pPr>
        <w:spacing w:after="60"/>
        <w:ind w:left="403" w:hanging="403"/>
      </w:pPr>
      <w:r>
        <w:t>3. Pedir al usuario que abra el enlace recibido dentro de la LAN.</w:t>
      </w:r>
    </w:p>
    <w:p>
      <w:pPr>
        <w:spacing w:after="60"/>
        <w:ind w:left="403" w:hanging="403"/>
      </w:pPr>
      <w:r>
        <w:t>4. Comprobar que el estado cambie de Pendiente a Confirmado.</w:t>
      </w:r>
    </w:p>
    <w:p>
      <w:pPr>
        <w:pStyle w:val="Heading2"/>
      </w:pPr>
      <w:r>
        <w:t>Modificar un usuario</w:t>
      </w:r>
    </w:p>
    <w:p>
      <w:pPr>
        <w:spacing w:after="60"/>
        <w:ind w:left="403" w:hanging="403"/>
      </w:pPr>
      <w:r>
        <w:t>1. Seleccionar Modificar junto al usuario.</w:t>
      </w:r>
    </w:p>
    <w:p>
      <w:pPr>
        <w:spacing w:after="60"/>
        <w:ind w:left="403" w:hanging="403"/>
      </w:pPr>
      <w:r>
        <w:t>2. Cambiar el correo, la contraseña o ambos. Dejar la contraseña vacía para conservarla.</w:t>
      </w:r>
    </w:p>
    <w:p>
      <w:pPr>
        <w:spacing w:after="60"/>
        <w:ind w:left="403" w:hanging="403"/>
      </w:pPr>
      <w:r>
        <w:t>3. Guardar. Un cambio de correo genera una nueva confirmación; un cambio de contraseña cierra las sesiones anteriores.</w:t>
      </w:r>
    </w:p>
    <w:p>
      <w:pPr>
        <w:pStyle w:val="Heading2"/>
      </w:pPr>
      <w:r>
        <w:t>Deshabilitar o eliminar un usuario</w:t>
      </w:r>
    </w:p>
    <w:p>
      <w:pPr>
        <w:pStyle w:val="ListBullet"/>
      </w:pPr>
      <w:r>
        <w:t>Deshabilitar conserva el registro y corta el acceso. Usar esta opción para ausencias o bloqueos temporales.</w:t>
      </w:r>
    </w:p>
    <w:p>
      <w:pPr>
        <w:pStyle w:val="ListBullet"/>
      </w:pPr>
      <w:r>
        <w:t>Eliminar borra definitivamente el registro y revoca el acceso. Usarlo cuando la persona deja de estar autorizada.</w:t>
      </w:r>
    </w:p>
    <w:p>
      <w:pPr>
        <w:pStyle w:val="ListBullet"/>
      </w:pPr>
      <w:r>
        <w:t>Reenviar solo funciona para usuarios pendientes y habilitados.</w:t>
      </w:r>
    </w:p>
    <w:p>
      <w:pPr>
        <w:pStyle w:val="Heading1"/>
      </w:pPr>
      <w:r>
        <w:t>Gestión de tokens cuentas y créditos</w:t>
      </w:r>
    </w:p>
    <w:p>
      <w:pPr>
        <w:pStyle w:val="Heading2"/>
      </w:pPr>
      <w:r>
        <w:t>Clave de Anthropic</w:t>
      </w:r>
    </w:p>
    <w:p>
      <w:pPr>
        <w:spacing w:after="60"/>
        <w:ind w:left="403" w:hanging="403"/>
      </w:pPr>
      <w:r>
        <w:t>1. Ingresar a Claude Platform con una cuenta organizacional y doble factor.</w:t>
      </w:r>
    </w:p>
    <w:p>
      <w:pPr>
        <w:spacing w:after="60"/>
        <w:ind w:left="403" w:hanging="403"/>
      </w:pPr>
      <w:r>
        <w:t>2. Abrir Settings y API keys. Crear una clave identificada como PriceBot servidor.</w:t>
      </w:r>
    </w:p>
    <w:p>
      <w:pPr>
        <w:spacing w:after="60"/>
        <w:ind w:left="403" w:hanging="403"/>
      </w:pPr>
      <w:r>
        <w:t>3. Copiarla una sola vez en ANTHROPIC_API_KEY dentro de pricebot\.env.</w:t>
      </w:r>
    </w:p>
    <w:p>
      <w:pPr>
        <w:spacing w:after="60"/>
        <w:ind w:left="403" w:hanging="403"/>
      </w:pPr>
      <w:r>
        <w:t>4. Establecer PRICEBOT_ALLOW_EXTERNAL_AI=1 únicamente con autorización de tratamiento de datos.</w:t>
      </w:r>
    </w:p>
    <w:p>
      <w:pPr>
        <w:spacing w:after="60"/>
        <w:ind w:left="403" w:hanging="403"/>
      </w:pPr>
      <w:r>
        <w:t>5. Reiniciar PriceBot y ejecutar una prueba no confidencial.</w:t>
      </w:r>
    </w:p>
    <w:p>
      <w:r>
        <w:t>Rotación recomendada: crear una clave nueva, reemplazarla en el servidor, reiniciar, probar y recién entonces revocar la anterior. Si una clave aparece en un chat, correo, captura o repositorio, revocarla inmediatamente.</w:t>
      </w:r>
    </w:p>
    <w:p>
      <w:pPr>
        <w:pStyle w:val="Heading2"/>
      </w:pPr>
      <w:r>
        <w:t>Compra y control de créditos</w:t>
      </w:r>
    </w:p>
    <w:p>
      <w:pPr>
        <w:spacing w:after="60"/>
        <w:ind w:left="403" w:hanging="403"/>
      </w:pPr>
      <w:r>
        <w:t>1. Abrir la página Billing de Claude Platform y revisar la organización seleccionada.</w:t>
      </w:r>
    </w:p>
    <w:p>
      <w:pPr>
        <w:spacing w:after="60"/>
        <w:ind w:left="403" w:hanging="403"/>
      </w:pPr>
      <w:r>
        <w:t>2. Seleccionar Buy credits, definir el importe y confirmar el medio de pago autorizado.</w:t>
      </w:r>
    </w:p>
    <w:p>
      <w:pPr>
        <w:spacing w:after="60"/>
        <w:ind w:left="403" w:hanging="403"/>
      </w:pPr>
      <w:r>
        <w:t>3. Configurar auto reload solo si Administración aprueba el umbral y el monto de recarga.</w:t>
      </w:r>
    </w:p>
    <w:p>
      <w:pPr>
        <w:spacing w:after="60"/>
        <w:ind w:left="403" w:hanging="403"/>
      </w:pPr>
      <w:r>
        <w:t>4. Revisar Usage por modelo y API key, y contrastarlo con costs_log.jsonl del servidor.</w:t>
      </w:r>
    </w:p>
    <w:p>
      <w:r>
        <w:t>Anthropic informa que la API usa créditos prepagados, que las llamadas exitosas consumen saldo y que los créditos comprados vencen un año después y no son reembolsables. Los roles Developer, Billing y Admin pueden consultar uso y costos; asignar el mínimo rol necesario.</w:t>
      </w:r>
    </w:p>
    <w:p>
      <w:pPr>
        <w:pStyle w:val="Heading2"/>
      </w:pPr>
      <w:r>
        <w:t>Correo Gmail para confirmaciones</w:t>
      </w:r>
    </w:p>
    <w:p>
      <w:pPr>
        <w:spacing w:after="60"/>
        <w:ind w:left="403" w:hanging="403"/>
      </w:pPr>
      <w:r>
        <w:t>1. Mantener activa la verificación en dos pasos de herni.wazi@gmail.com.</w:t>
      </w:r>
    </w:p>
    <w:p>
      <w:pPr>
        <w:spacing w:after="60"/>
        <w:ind w:left="403" w:hanging="403"/>
      </w:pPr>
      <w:r>
        <w:t>2. Generar una contraseña de aplicación exclusiva para PriceBot.</w:t>
      </w:r>
    </w:p>
    <w:p>
      <w:pPr>
        <w:spacing w:after="60"/>
        <w:ind w:left="403" w:hanging="403"/>
      </w:pPr>
      <w:r>
        <w:t>3. Guardar el valor sin espacios en PRICEBOT_SMTP_PASSWORD dentro de pricebot\.env.</w:t>
      </w:r>
    </w:p>
    <w:p>
      <w:pPr>
        <w:spacing w:after="60"/>
        <w:ind w:left="403" w:hanging="403"/>
      </w:pPr>
      <w:r>
        <w:t>4. Si se cambia la contraseña principal de Google o se sospecha exposición, generar una nueva contraseña de aplicación y revocar la anterior.</w:t>
      </w:r>
    </w:p>
    <w:p>
      <w:pPr>
        <w:pStyle w:val="Heading1"/>
      </w:pPr>
      <w:r>
        <w:t>Archivos de configuración y secretos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4"/>
        <w:gridCol w:w="2484"/>
        <w:gridCol w:w="2484"/>
        <w:gridCol w:w="2484"/>
      </w:tblGrid>
      <w:tr>
        <w:trPr>
          <w:tblHeader w:val="true"/>
          <w:cantSplit/>
        </w:trPr>
        <w:tc>
          <w:tcPr>
            <w:tcW w:type="dxa" w:w="1800"/>
            <w:shd w:fill="183B56"/>
            <w:tcMar>
              <w:top w:w="110" w:type="dxa"/>
              <w:start w:w="110" w:type="dxa"/>
              <w:bottom w:w="110" w:type="dxa"/>
              <w:end w:w="110" w:type="dxa"/>
            </w:tcMar>
            <w:vAlign w:val="center"/>
          </w:tcPr>
          <w:p>
            <w:pPr>
              <w:jc w:val="center"/>
            </w:pPr>
            <w:r>
              <w:rPr>
                <w:b/>
                <w:color w:val="FFFFFF"/>
                <w:sz w:val="19"/>
              </w:rPr>
              <w:t>Elemento</w:t>
            </w:r>
          </w:p>
        </w:tc>
        <w:tc>
          <w:tcPr>
            <w:tcW w:type="dxa" w:w="3096"/>
            <w:shd w:fill="183B56"/>
            <w:tcMar>
              <w:top w:w="110" w:type="dxa"/>
              <w:start w:w="110" w:type="dxa"/>
              <w:bottom w:w="110" w:type="dxa"/>
              <w:end w:w="110" w:type="dxa"/>
            </w:tcMar>
            <w:vAlign w:val="center"/>
          </w:tcPr>
          <w:p>
            <w:pPr>
              <w:jc w:val="center"/>
            </w:pPr>
            <w:r>
              <w:rPr>
                <w:b/>
                <w:color w:val="FFFFFF"/>
                <w:sz w:val="19"/>
              </w:rPr>
              <w:t>Ubicación</w:t>
            </w:r>
          </w:p>
        </w:tc>
        <w:tc>
          <w:tcPr>
            <w:tcW w:type="dxa" w:w="2088"/>
            <w:shd w:fill="183B56"/>
            <w:tcMar>
              <w:top w:w="110" w:type="dxa"/>
              <w:start w:w="110" w:type="dxa"/>
              <w:bottom w:w="110" w:type="dxa"/>
              <w:end w:w="110" w:type="dxa"/>
            </w:tcMar>
            <w:vAlign w:val="center"/>
          </w:tcPr>
          <w:p>
            <w:pPr>
              <w:jc w:val="center"/>
            </w:pPr>
            <w:r>
              <w:rPr>
                <w:b/>
                <w:color w:val="FFFFFF"/>
                <w:sz w:val="19"/>
              </w:rPr>
              <w:t>Respaldo</w:t>
            </w:r>
          </w:p>
        </w:tc>
        <w:tc>
          <w:tcPr>
            <w:tcW w:type="dxa" w:w="2664"/>
            <w:shd w:fill="183B56"/>
            <w:tcMar>
              <w:top w:w="110" w:type="dxa"/>
              <w:start w:w="110" w:type="dxa"/>
              <w:bottom w:w="110" w:type="dxa"/>
              <w:end w:w="110" w:type="dxa"/>
            </w:tcMar>
            <w:vAlign w:val="center"/>
          </w:tcPr>
          <w:p>
            <w:pPr>
              <w:jc w:val="center"/>
            </w:pPr>
            <w:r>
              <w:rPr>
                <w:b/>
                <w:color w:val="FFFFFF"/>
                <w:sz w:val="19"/>
              </w:rPr>
              <w:t>Regla</w:t>
            </w:r>
          </w:p>
        </w:tc>
      </w:tr>
      <w:tr>
        <w:trPr>
          <w:cantSplit/>
        </w:trPr>
        <w:tc>
          <w:tcPr>
            <w:tcW w:type="dxa" w:w="1800"/>
            <w:tcMar>
              <w:top w:w="110" w:type="dxa"/>
              <w:start w:w="110" w:type="dxa"/>
              <w:bottom w:w="110" w:type="dxa"/>
              <w:end w:w="110" w:type="dxa"/>
            </w:tcMar>
            <w:vAlign w:val="center"/>
          </w:tcPr>
          <w:p>
            <w:pPr>
              <w:spacing w:after="0"/>
            </w:pPr>
            <w:r>
              <w:rPr>
                <w:sz w:val="19"/>
              </w:rPr>
              <w:t>Variables y secretos</w:t>
            </w:r>
          </w:p>
        </w:tc>
        <w:tc>
          <w:tcPr>
            <w:tcW w:type="dxa" w:w="3096"/>
            <w:tcMar>
              <w:top w:w="110" w:type="dxa"/>
              <w:start w:w="110" w:type="dxa"/>
              <w:bottom w:w="110" w:type="dxa"/>
              <w:end w:w="110" w:type="dxa"/>
            </w:tcMar>
            <w:vAlign w:val="center"/>
          </w:tcPr>
          <w:p>
            <w:pPr>
              <w:spacing w:after="0"/>
            </w:pPr>
            <w:r>
              <w:rPr>
                <w:sz w:val="19"/>
              </w:rPr>
              <w:t>pricebot\.env</w:t>
            </w:r>
          </w:p>
        </w:tc>
        <w:tc>
          <w:tcPr>
            <w:tcW w:type="dxa" w:w="2088"/>
            <w:tcMar>
              <w:top w:w="110" w:type="dxa"/>
              <w:start w:w="110" w:type="dxa"/>
              <w:bottom w:w="110" w:type="dxa"/>
              <w:end w:w="110" w:type="dxa"/>
            </w:tcMar>
            <w:vAlign w:val="center"/>
          </w:tcPr>
          <w:p>
            <w:pPr>
              <w:spacing w:after="0"/>
            </w:pPr>
            <w:r>
              <w:rPr>
                <w:sz w:val="19"/>
              </w:rPr>
              <w:t>Gestor seguro o copia cifrada</w:t>
            </w:r>
          </w:p>
        </w:tc>
        <w:tc>
          <w:tcPr>
            <w:tcW w:type="dxa" w:w="2664"/>
            <w:tcMar>
              <w:top w:w="110" w:type="dxa"/>
              <w:start w:w="110" w:type="dxa"/>
              <w:bottom w:w="110" w:type="dxa"/>
              <w:end w:w="110" w:type="dxa"/>
            </w:tcMar>
            <w:vAlign w:val="center"/>
          </w:tcPr>
          <w:p>
            <w:pPr>
              <w:spacing w:after="0"/>
            </w:pPr>
            <w:r>
              <w:rPr>
                <w:sz w:val="19"/>
              </w:rPr>
              <w:t>Nunca subir a Git</w:t>
            </w:r>
          </w:p>
        </w:tc>
      </w:tr>
      <w:tr>
        <w:trPr>
          <w:cantSplit/>
        </w:trPr>
        <w:tc>
          <w:tcPr>
            <w:tcW w:type="dxa" w:w="1800"/>
            <w:tcMar>
              <w:top w:w="110" w:type="dxa"/>
              <w:start w:w="110" w:type="dxa"/>
              <w:bottom w:w="110" w:type="dxa"/>
              <w:end w:w="110" w:type="dxa"/>
            </w:tcMar>
            <w:vAlign w:val="center"/>
            <w:shd w:fill="EAF3F8"/>
          </w:tcPr>
          <w:p>
            <w:pPr>
              <w:spacing w:after="0"/>
            </w:pPr>
            <w:r>
              <w:rPr>
                <w:sz w:val="19"/>
              </w:rPr>
              <w:t>Usuarios</w:t>
            </w:r>
          </w:p>
        </w:tc>
        <w:tc>
          <w:tcPr>
            <w:tcW w:type="dxa" w:w="3096"/>
            <w:tcMar>
              <w:top w:w="110" w:type="dxa"/>
              <w:start w:w="110" w:type="dxa"/>
              <w:bottom w:w="110" w:type="dxa"/>
              <w:end w:w="110" w:type="dxa"/>
            </w:tcMar>
            <w:vAlign w:val="center"/>
            <w:shd w:fill="EAF3F8"/>
          </w:tcPr>
          <w:p>
            <w:pPr>
              <w:spacing w:after="0"/>
            </w:pPr>
            <w:r>
              <w:rPr>
                <w:sz w:val="19"/>
              </w:rPr>
              <w:t>pricebot\api\data\users.db</w:t>
            </w:r>
          </w:p>
        </w:tc>
        <w:tc>
          <w:tcPr>
            <w:tcW w:type="dxa" w:w="2088"/>
            <w:tcMar>
              <w:top w:w="110" w:type="dxa"/>
              <w:start w:w="110" w:type="dxa"/>
              <w:bottom w:w="110" w:type="dxa"/>
              <w:end w:w="110" w:type="dxa"/>
            </w:tcMar>
            <w:vAlign w:val="center"/>
            <w:shd w:fill="EAF3F8"/>
          </w:tcPr>
          <w:p>
            <w:pPr>
              <w:spacing w:after="0"/>
            </w:pPr>
            <w:r>
              <w:rPr>
                <w:sz w:val="19"/>
              </w:rPr>
              <w:t>Copia cifrada periódica</w:t>
            </w:r>
          </w:p>
        </w:tc>
        <w:tc>
          <w:tcPr>
            <w:tcW w:type="dxa" w:w="2664"/>
            <w:tcMar>
              <w:top w:w="110" w:type="dxa"/>
              <w:start w:w="110" w:type="dxa"/>
              <w:bottom w:w="110" w:type="dxa"/>
              <w:end w:w="110" w:type="dxa"/>
            </w:tcMar>
            <w:vAlign w:val="center"/>
            <w:shd w:fill="EAF3F8"/>
          </w:tcPr>
          <w:p>
            <w:pPr>
              <w:spacing w:after="0"/>
            </w:pPr>
            <w:r>
              <w:rPr>
                <w:sz w:val="19"/>
              </w:rPr>
              <w:t>Detener servicio antes de copiar</w:t>
            </w:r>
          </w:p>
        </w:tc>
      </w:tr>
      <w:tr>
        <w:trPr>
          <w:cantSplit/>
        </w:trPr>
        <w:tc>
          <w:tcPr>
            <w:tcW w:type="dxa" w:w="1800"/>
            <w:tcMar>
              <w:top w:w="110" w:type="dxa"/>
              <w:start w:w="110" w:type="dxa"/>
              <w:bottom w:w="110" w:type="dxa"/>
              <w:end w:w="110" w:type="dxa"/>
            </w:tcMar>
            <w:vAlign w:val="center"/>
          </w:tcPr>
          <w:p>
            <w:pPr>
              <w:spacing w:after="0"/>
            </w:pPr>
            <w:r>
              <w:rPr>
                <w:sz w:val="19"/>
              </w:rPr>
              <w:t>Código</w:t>
            </w:r>
          </w:p>
        </w:tc>
        <w:tc>
          <w:tcPr>
            <w:tcW w:type="dxa" w:w="3096"/>
            <w:tcMar>
              <w:top w:w="110" w:type="dxa"/>
              <w:start w:w="110" w:type="dxa"/>
              <w:bottom w:w="110" w:type="dxa"/>
              <w:end w:w="110" w:type="dxa"/>
            </w:tcMar>
            <w:vAlign w:val="center"/>
          </w:tcPr>
          <w:p>
            <w:pPr>
              <w:spacing w:after="0"/>
            </w:pPr>
            <w:r>
              <w:rPr>
                <w:sz w:val="19"/>
              </w:rPr>
              <w:t>Repositorio GitHub</w:t>
            </w:r>
          </w:p>
        </w:tc>
        <w:tc>
          <w:tcPr>
            <w:tcW w:type="dxa" w:w="2088"/>
            <w:tcMar>
              <w:top w:w="110" w:type="dxa"/>
              <w:start w:w="110" w:type="dxa"/>
              <w:bottom w:w="110" w:type="dxa"/>
              <w:end w:w="110" w:type="dxa"/>
            </w:tcMar>
            <w:vAlign w:val="center"/>
          </w:tcPr>
          <w:p>
            <w:pPr>
              <w:spacing w:after="0"/>
            </w:pPr>
            <w:r>
              <w:rPr>
                <w:sz w:val="19"/>
              </w:rPr>
              <w:t>Git</w:t>
            </w:r>
          </w:p>
        </w:tc>
        <w:tc>
          <w:tcPr>
            <w:tcW w:type="dxa" w:w="2664"/>
            <w:tcMar>
              <w:top w:w="110" w:type="dxa"/>
              <w:start w:w="110" w:type="dxa"/>
              <w:bottom w:w="110" w:type="dxa"/>
              <w:end w:w="110" w:type="dxa"/>
            </w:tcMar>
            <w:vAlign w:val="center"/>
          </w:tcPr>
          <w:p>
            <w:pPr>
              <w:spacing w:after="0"/>
            </w:pPr>
            <w:r>
              <w:rPr>
                <w:sz w:val="19"/>
              </w:rPr>
              <w:t>No incluir documentos ni secretos</w:t>
            </w:r>
          </w:p>
        </w:tc>
      </w:tr>
      <w:tr>
        <w:trPr>
          <w:cantSplit/>
        </w:trPr>
        <w:tc>
          <w:tcPr>
            <w:tcW w:type="dxa" w:w="1800"/>
            <w:tcMar>
              <w:top w:w="110" w:type="dxa"/>
              <w:start w:w="110" w:type="dxa"/>
              <w:bottom w:w="110" w:type="dxa"/>
              <w:end w:w="110" w:type="dxa"/>
            </w:tcMar>
            <w:vAlign w:val="center"/>
            <w:shd w:fill="EAF3F8"/>
          </w:tcPr>
          <w:p>
            <w:pPr>
              <w:spacing w:after="0"/>
            </w:pPr>
            <w:r>
              <w:rPr>
                <w:sz w:val="19"/>
              </w:rPr>
              <w:t>Historial de extracción</w:t>
            </w:r>
          </w:p>
        </w:tc>
        <w:tc>
          <w:tcPr>
            <w:tcW w:type="dxa" w:w="3096"/>
            <w:tcMar>
              <w:top w:w="110" w:type="dxa"/>
              <w:start w:w="110" w:type="dxa"/>
              <w:bottom w:w="110" w:type="dxa"/>
              <w:end w:w="110" w:type="dxa"/>
            </w:tcMar>
            <w:vAlign w:val="center"/>
            <w:shd w:fill="EAF3F8"/>
          </w:tcPr>
          <w:p>
            <w:pPr>
              <w:spacing w:after="0"/>
            </w:pPr>
            <w:r>
              <w:rPr>
                <w:sz w:val="19"/>
              </w:rPr>
              <w:t>Desactivado por defecto</w:t>
            </w:r>
          </w:p>
        </w:tc>
        <w:tc>
          <w:tcPr>
            <w:tcW w:type="dxa" w:w="2088"/>
            <w:tcMar>
              <w:top w:w="110" w:type="dxa"/>
              <w:start w:w="110" w:type="dxa"/>
              <w:bottom w:w="110" w:type="dxa"/>
              <w:end w:w="110" w:type="dxa"/>
            </w:tcMar>
            <w:vAlign w:val="center"/>
            <w:shd w:fill="EAF3F8"/>
          </w:tcPr>
          <w:p>
            <w:pPr>
              <w:spacing w:after="0"/>
            </w:pPr>
            <w:r>
              <w:rPr>
                <w:sz w:val="19"/>
              </w:rPr>
              <w:t>No aplica</w:t>
            </w:r>
          </w:p>
        </w:tc>
        <w:tc>
          <w:tcPr>
            <w:tcW w:type="dxa" w:w="2664"/>
            <w:tcMar>
              <w:top w:w="110" w:type="dxa"/>
              <w:start w:w="110" w:type="dxa"/>
              <w:bottom w:w="110" w:type="dxa"/>
              <w:end w:w="110" w:type="dxa"/>
            </w:tcMar>
            <w:vAlign w:val="center"/>
            <w:shd w:fill="EAF3F8"/>
          </w:tcPr>
          <w:p>
            <w:pPr>
              <w:spacing w:after="0"/>
            </w:pPr>
            <w:r>
              <w:rPr>
                <w:sz w:val="19"/>
              </w:rPr>
              <w:t>Activar solo con política de retención</w:t>
            </w:r>
          </w:p>
        </w:tc>
      </w:tr>
      <w:tr>
        <w:trPr>
          <w:cantSplit/>
        </w:trPr>
        <w:tc>
          <w:tcPr>
            <w:tcW w:type="dxa" w:w="1800"/>
            <w:tcMar>
              <w:top w:w="110" w:type="dxa"/>
              <w:start w:w="110" w:type="dxa"/>
              <w:bottom w:w="110" w:type="dxa"/>
              <w:end w:w="110" w:type="dxa"/>
            </w:tcMar>
            <w:vAlign w:val="center"/>
          </w:tcPr>
          <w:p>
            <w:pPr>
              <w:spacing w:after="0"/>
            </w:pPr>
            <w:r>
              <w:rPr>
                <w:sz w:val="19"/>
              </w:rPr>
              <w:t>Costos</w:t>
            </w:r>
          </w:p>
        </w:tc>
        <w:tc>
          <w:tcPr>
            <w:tcW w:type="dxa" w:w="3096"/>
            <w:tcMar>
              <w:top w:w="110" w:type="dxa"/>
              <w:start w:w="110" w:type="dxa"/>
              <w:bottom w:w="110" w:type="dxa"/>
              <w:end w:w="110" w:type="dxa"/>
            </w:tcMar>
            <w:vAlign w:val="center"/>
          </w:tcPr>
          <w:p>
            <w:pPr>
              <w:spacing w:after="0"/>
            </w:pPr>
            <w:r>
              <w:rPr>
                <w:sz w:val="19"/>
              </w:rPr>
              <w:t>costs_log.jsonl</w:t>
            </w:r>
          </w:p>
        </w:tc>
        <w:tc>
          <w:tcPr>
            <w:tcW w:type="dxa" w:w="2088"/>
            <w:tcMar>
              <w:top w:w="110" w:type="dxa"/>
              <w:start w:w="110" w:type="dxa"/>
              <w:bottom w:w="110" w:type="dxa"/>
              <w:end w:w="110" w:type="dxa"/>
            </w:tcMar>
            <w:vAlign w:val="center"/>
          </w:tcPr>
          <w:p>
            <w:pPr>
              <w:spacing w:after="0"/>
            </w:pPr>
            <w:r>
              <w:rPr>
                <w:sz w:val="19"/>
              </w:rPr>
              <w:t>Según política contable</w:t>
            </w:r>
          </w:p>
        </w:tc>
        <w:tc>
          <w:tcPr>
            <w:tcW w:type="dxa" w:w="2664"/>
            <w:tcMar>
              <w:top w:w="110" w:type="dxa"/>
              <w:start w:w="110" w:type="dxa"/>
              <w:bottom w:w="110" w:type="dxa"/>
              <w:end w:w="110" w:type="dxa"/>
            </w:tcMar>
            <w:vAlign w:val="center"/>
          </w:tcPr>
          <w:p>
            <w:pPr>
              <w:spacing w:after="0"/>
            </w:pPr>
            <w:r>
              <w:rPr>
                <w:sz w:val="19"/>
              </w:rPr>
              <w:t>No registrar nombres de archivo</w:t>
            </w:r>
          </w:p>
        </w:tc>
      </w:tr>
    </w:tbl>
    <w:p>
      <w:pPr>
        <w:spacing w:after="40"/>
      </w:pPr>
    </w:p>
    <w:p>
      <w:pPr>
        <w:pStyle w:val="Heading1"/>
      </w:pPr>
      <w:r>
        <w:t>Actualización del sistema</w:t>
      </w:r>
    </w:p>
    <w:p>
      <w:pPr>
        <w:spacing w:after="60"/>
        <w:ind w:left="403" w:hanging="403"/>
      </w:pPr>
      <w:r>
        <w:t>1. Confirmar que no haya una extracción en curso y cerrar PriceBot.</w:t>
      </w:r>
    </w:p>
    <w:p>
      <w:pPr>
        <w:spacing w:after="60"/>
        <w:ind w:left="403" w:hanging="403"/>
      </w:pPr>
      <w:r>
        <w:t>2. Respaldar pricebot\.env y pricebot\api\data\users.db en almacenamiento cifrado.</w:t>
      </w:r>
    </w:p>
    <w:p>
      <w:pPr>
        <w:spacing w:after="60"/>
        <w:ind w:left="403" w:hanging="403"/>
      </w:pPr>
      <w:r>
        <w:t>3. Ejecutar git status. No continuar si aparecen cambios no reconocidos.</w:t>
      </w:r>
    </w:p>
    <w:p>
      <w:pPr>
        <w:spacing w:after="60"/>
        <w:ind w:left="403" w:hanging="403"/>
      </w:pPr>
      <w:r>
        <w:t>4. Ejecutar git pull desde C:\Users\Soporte\Documents\AnalizadorPlanillas.</w:t>
      </w:r>
    </w:p>
    <w:p>
      <w:pPr>
        <w:spacing w:after="60"/>
        <w:ind w:left="403" w:hanging="403"/>
      </w:pPr>
      <w:r>
        <w:t>5. Si cambiaron dependencias, ejecutar instalar.bat.</w:t>
      </w:r>
    </w:p>
    <w:p>
      <w:pPr>
        <w:spacing w:after="60"/>
        <w:ind w:left="403" w:hanging="403"/>
      </w:pPr>
      <w:r>
        <w:t>6. Iniciar con iniciar-servidor.bat y completar la lista de verificación posterior.</w:t>
      </w:r>
    </w:p>
    <w:p>
      <w:pPr>
        <w:pStyle w:val="Heading1"/>
      </w:pPr>
      <w:r>
        <w:t>Controles de seguridad implementados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3312"/>
        <w:gridCol w:w="3312"/>
      </w:tblGrid>
      <w:tr>
        <w:trPr>
          <w:tblHeader w:val="true"/>
          <w:cantSplit/>
        </w:trPr>
        <w:tc>
          <w:tcPr>
            <w:tcW w:type="dxa" w:w="2088"/>
            <w:shd w:fill="183B56"/>
            <w:tcMar>
              <w:top w:w="110" w:type="dxa"/>
              <w:start w:w="110" w:type="dxa"/>
              <w:bottom w:w="110" w:type="dxa"/>
              <w:end w:w="110" w:type="dxa"/>
            </w:tcMar>
            <w:vAlign w:val="center"/>
          </w:tcPr>
          <w:p>
            <w:pPr>
              <w:jc w:val="center"/>
            </w:pPr>
            <w:r>
              <w:rPr>
                <w:b/>
                <w:color w:val="FFFFFF"/>
                <w:sz w:val="19"/>
              </w:rPr>
              <w:t>Riesgo</w:t>
            </w:r>
          </w:p>
        </w:tc>
        <w:tc>
          <w:tcPr>
            <w:tcW w:type="dxa" w:w="4680"/>
            <w:shd w:fill="183B56"/>
            <w:tcMar>
              <w:top w:w="110" w:type="dxa"/>
              <w:start w:w="110" w:type="dxa"/>
              <w:bottom w:w="110" w:type="dxa"/>
              <w:end w:w="110" w:type="dxa"/>
            </w:tcMar>
            <w:vAlign w:val="center"/>
          </w:tcPr>
          <w:p>
            <w:pPr>
              <w:jc w:val="center"/>
            </w:pPr>
            <w:r>
              <w:rPr>
                <w:b/>
                <w:color w:val="FFFFFF"/>
                <w:sz w:val="19"/>
              </w:rPr>
              <w:t>Control actual</w:t>
            </w:r>
          </w:p>
        </w:tc>
        <w:tc>
          <w:tcPr>
            <w:tcW w:type="dxa" w:w="2808"/>
            <w:shd w:fill="183B56"/>
            <w:tcMar>
              <w:top w:w="110" w:type="dxa"/>
              <w:start w:w="110" w:type="dxa"/>
              <w:bottom w:w="110" w:type="dxa"/>
              <w:end w:w="110" w:type="dxa"/>
            </w:tcMar>
            <w:vAlign w:val="center"/>
          </w:tcPr>
          <w:p>
            <w:pPr>
              <w:jc w:val="center"/>
            </w:pPr>
            <w:r>
              <w:rPr>
                <w:b/>
                <w:color w:val="FFFFFF"/>
                <w:sz w:val="19"/>
              </w:rPr>
              <w:t>Verificación administrativa</w:t>
            </w:r>
          </w:p>
        </w:tc>
      </w:tr>
      <w:tr>
        <w:trPr>
          <w:cantSplit/>
        </w:trPr>
        <w:tc>
          <w:tcPr>
            <w:tcW w:type="dxa" w:w="2088"/>
            <w:tcMar>
              <w:top w:w="110" w:type="dxa"/>
              <w:start w:w="110" w:type="dxa"/>
              <w:bottom w:w="110" w:type="dxa"/>
              <w:end w:w="110" w:type="dxa"/>
            </w:tcMar>
            <w:vAlign w:val="center"/>
          </w:tcPr>
          <w:p>
            <w:pPr>
              <w:spacing w:after="0"/>
            </w:pPr>
            <w:r>
              <w:rPr>
                <w:sz w:val="19"/>
              </w:rPr>
              <w:t>Acceso no autorizado</w:t>
            </w:r>
          </w:p>
        </w:tc>
        <w:tc>
          <w:tcPr>
            <w:tcW w:type="dxa" w:w="4680"/>
            <w:tcMar>
              <w:top w:w="110" w:type="dxa"/>
              <w:start w:w="110" w:type="dxa"/>
              <w:bottom w:w="110" w:type="dxa"/>
              <w:end w:w="110" w:type="dxa"/>
            </w:tcMar>
            <w:vAlign w:val="center"/>
          </w:tcPr>
          <w:p>
            <w:pPr>
              <w:spacing w:after="0"/>
            </w:pPr>
            <w:r>
              <w:rPr>
                <w:sz w:val="19"/>
              </w:rPr>
              <w:t>Usuarios confirmados, sesiones firmadas, límite de intentos y administración solo local</w:t>
            </w:r>
          </w:p>
        </w:tc>
        <w:tc>
          <w:tcPr>
            <w:tcW w:type="dxa" w:w="2808"/>
            <w:tcMar>
              <w:top w:w="110" w:type="dxa"/>
              <w:start w:w="110" w:type="dxa"/>
              <w:bottom w:w="110" w:type="dxa"/>
              <w:end w:w="110" w:type="dxa"/>
            </w:tcMar>
            <w:vAlign w:val="center"/>
          </w:tcPr>
          <w:p>
            <w:pPr>
              <w:spacing w:after="0"/>
            </w:pPr>
            <w:r>
              <w:rPr>
                <w:sz w:val="19"/>
              </w:rPr>
              <w:t>Revisar usuarios mensualmente</w:t>
            </w:r>
          </w:p>
        </w:tc>
      </w:tr>
      <w:tr>
        <w:trPr>
          <w:cantSplit/>
        </w:trPr>
        <w:tc>
          <w:tcPr>
            <w:tcW w:type="dxa" w:w="2088"/>
            <w:tcMar>
              <w:top w:w="110" w:type="dxa"/>
              <w:start w:w="110" w:type="dxa"/>
              <w:bottom w:w="110" w:type="dxa"/>
              <w:end w:w="110" w:type="dxa"/>
            </w:tcMar>
            <w:vAlign w:val="center"/>
            <w:shd w:fill="EAF3F8"/>
          </w:tcPr>
          <w:p>
            <w:pPr>
              <w:spacing w:after="0"/>
            </w:pPr>
            <w:r>
              <w:rPr>
                <w:sz w:val="19"/>
              </w:rPr>
              <w:t>Sesiones antiguas</w:t>
            </w:r>
          </w:p>
        </w:tc>
        <w:tc>
          <w:tcPr>
            <w:tcW w:type="dxa" w:w="4680"/>
            <w:tcMar>
              <w:top w:w="110" w:type="dxa"/>
              <w:start w:w="110" w:type="dxa"/>
              <w:bottom w:w="110" w:type="dxa"/>
              <w:end w:w="110" w:type="dxa"/>
            </w:tcMar>
            <w:vAlign w:val="center"/>
            <w:shd w:fill="EAF3F8"/>
          </w:tcPr>
          <w:p>
            <w:pPr>
              <w:spacing w:after="0"/>
            </w:pPr>
            <w:r>
              <w:rPr>
                <w:sz w:val="19"/>
              </w:rPr>
              <w:t>Cambio de contraseña, estado o eliminación revoca sesiones</w:t>
            </w:r>
          </w:p>
        </w:tc>
        <w:tc>
          <w:tcPr>
            <w:tcW w:type="dxa" w:w="2808"/>
            <w:tcMar>
              <w:top w:w="110" w:type="dxa"/>
              <w:start w:w="110" w:type="dxa"/>
              <w:bottom w:w="110" w:type="dxa"/>
              <w:end w:w="110" w:type="dxa"/>
            </w:tcMar>
            <w:vAlign w:val="center"/>
            <w:shd w:fill="EAF3F8"/>
          </w:tcPr>
          <w:p>
            <w:pPr>
              <w:spacing w:after="0"/>
            </w:pPr>
            <w:r>
              <w:rPr>
                <w:sz w:val="19"/>
              </w:rPr>
              <w:t>Probar login después de cada cambio</w:t>
            </w:r>
          </w:p>
        </w:tc>
      </w:tr>
      <w:tr>
        <w:trPr>
          <w:cantSplit/>
        </w:trPr>
        <w:tc>
          <w:tcPr>
            <w:tcW w:type="dxa" w:w="2088"/>
            <w:tcMar>
              <w:top w:w="110" w:type="dxa"/>
              <w:start w:w="110" w:type="dxa"/>
              <w:bottom w:w="110" w:type="dxa"/>
              <w:end w:w="110" w:type="dxa"/>
            </w:tcMar>
            <w:vAlign w:val="center"/>
          </w:tcPr>
          <w:p>
            <w:pPr>
              <w:spacing w:after="0"/>
            </w:pPr>
            <w:r>
              <w:rPr>
                <w:sz w:val="19"/>
              </w:rPr>
              <w:t>Archivo falso o malicioso</w:t>
            </w:r>
          </w:p>
        </w:tc>
        <w:tc>
          <w:tcPr>
            <w:tcW w:type="dxa" w:w="4680"/>
            <w:tcMar>
              <w:top w:w="110" w:type="dxa"/>
              <w:start w:w="110" w:type="dxa"/>
              <w:bottom w:w="110" w:type="dxa"/>
              <w:end w:w="110" w:type="dxa"/>
            </w:tcMar>
            <w:vAlign w:val="center"/>
          </w:tcPr>
          <w:p>
            <w:pPr>
              <w:spacing w:after="0"/>
            </w:pPr>
            <w:r>
              <w:rPr>
                <w:sz w:val="19"/>
              </w:rPr>
              <w:t>Extensiones permitidas, firmas, ZIP Office, rutas, cifrado, tamaño, páginas y píxeles</w:t>
            </w:r>
          </w:p>
        </w:tc>
        <w:tc>
          <w:tcPr>
            <w:tcW w:type="dxa" w:w="2808"/>
            <w:tcMar>
              <w:top w:w="110" w:type="dxa"/>
              <w:start w:w="110" w:type="dxa"/>
              <w:bottom w:w="110" w:type="dxa"/>
              <w:end w:w="110" w:type="dxa"/>
            </w:tcMar>
            <w:vAlign w:val="center"/>
          </w:tcPr>
          <w:p>
            <w:pPr>
              <w:spacing w:after="0"/>
            </w:pPr>
            <w:r>
              <w:rPr>
                <w:sz w:val="19"/>
              </w:rPr>
              <w:t>Rechazar archivos inesperados</w:t>
            </w:r>
          </w:p>
        </w:tc>
      </w:tr>
      <w:tr>
        <w:trPr>
          <w:cantSplit/>
        </w:trPr>
        <w:tc>
          <w:tcPr>
            <w:tcW w:type="dxa" w:w="2088"/>
            <w:tcMar>
              <w:top w:w="110" w:type="dxa"/>
              <w:start w:w="110" w:type="dxa"/>
              <w:bottom w:w="110" w:type="dxa"/>
              <w:end w:w="110" w:type="dxa"/>
            </w:tcMar>
            <w:vAlign w:val="center"/>
            <w:shd w:fill="EAF3F8"/>
          </w:tcPr>
          <w:p>
            <w:pPr>
              <w:spacing w:after="0"/>
            </w:pPr>
            <w:r>
              <w:rPr>
                <w:sz w:val="19"/>
              </w:rPr>
              <w:t>Fórmulas al exportar</w:t>
            </w:r>
          </w:p>
        </w:tc>
        <w:tc>
          <w:tcPr>
            <w:tcW w:type="dxa" w:w="4680"/>
            <w:tcMar>
              <w:top w:w="110" w:type="dxa"/>
              <w:start w:w="110" w:type="dxa"/>
              <w:bottom w:w="110" w:type="dxa"/>
              <w:end w:w="110" w:type="dxa"/>
            </w:tcMar>
            <w:vAlign w:val="center"/>
            <w:shd w:fill="EAF3F8"/>
          </w:tcPr>
          <w:p>
            <w:pPr>
              <w:spacing w:after="0"/>
            </w:pPr>
            <w:r>
              <w:rPr>
                <w:sz w:val="19"/>
              </w:rPr>
              <w:t>Neutralización de fórmulas en XLS y XLSX</w:t>
            </w:r>
          </w:p>
        </w:tc>
        <w:tc>
          <w:tcPr>
            <w:tcW w:type="dxa" w:w="2808"/>
            <w:tcMar>
              <w:top w:w="110" w:type="dxa"/>
              <w:start w:w="110" w:type="dxa"/>
              <w:bottom w:w="110" w:type="dxa"/>
              <w:end w:w="110" w:type="dxa"/>
            </w:tcMar>
            <w:vAlign w:val="center"/>
            <w:shd w:fill="EAF3F8"/>
          </w:tcPr>
          <w:p>
            <w:pPr>
              <w:spacing w:after="0"/>
            </w:pPr>
            <w:r>
              <w:rPr>
                <w:sz w:val="19"/>
              </w:rPr>
              <w:t>Abrir muestra en entorno controlado</w:t>
            </w:r>
          </w:p>
        </w:tc>
      </w:tr>
      <w:tr>
        <w:trPr>
          <w:cantSplit/>
        </w:trPr>
        <w:tc>
          <w:tcPr>
            <w:tcW w:type="dxa" w:w="2088"/>
            <w:tcMar>
              <w:top w:w="110" w:type="dxa"/>
              <w:start w:w="110" w:type="dxa"/>
              <w:bottom w:w="110" w:type="dxa"/>
              <w:end w:w="110" w:type="dxa"/>
            </w:tcMar>
            <w:vAlign w:val="center"/>
          </w:tcPr>
          <w:p>
            <w:pPr>
              <w:spacing w:after="0"/>
            </w:pPr>
            <w:r>
              <w:rPr>
                <w:sz w:val="19"/>
              </w:rPr>
              <w:t>Persistencia de información</w:t>
            </w:r>
          </w:p>
        </w:tc>
        <w:tc>
          <w:tcPr>
            <w:tcW w:type="dxa" w:w="4680"/>
            <w:tcMar>
              <w:top w:w="110" w:type="dxa"/>
              <w:start w:w="110" w:type="dxa"/>
              <w:bottom w:w="110" w:type="dxa"/>
              <w:end w:w="110" w:type="dxa"/>
            </w:tcMar>
            <w:vAlign w:val="center"/>
          </w:tcPr>
          <w:p>
            <w:pPr>
              <w:spacing w:after="0"/>
            </w:pPr>
            <w:r>
              <w:rPr>
                <w:sz w:val="19"/>
              </w:rPr>
              <w:t>Historial, nombres y caché desactivados por defecto</w:t>
            </w:r>
          </w:p>
        </w:tc>
        <w:tc>
          <w:tcPr>
            <w:tcW w:type="dxa" w:w="2808"/>
            <w:tcMar>
              <w:top w:w="110" w:type="dxa"/>
              <w:start w:w="110" w:type="dxa"/>
              <w:bottom w:w="110" w:type="dxa"/>
              <w:end w:w="110" w:type="dxa"/>
            </w:tcMar>
            <w:vAlign w:val="center"/>
          </w:tcPr>
          <w:p>
            <w:pPr>
              <w:spacing w:after="0"/>
            </w:pPr>
            <w:r>
              <w:rPr>
                <w:sz w:val="19"/>
              </w:rPr>
              <w:t>Verificar .env después de actualizaciones</w:t>
            </w:r>
          </w:p>
        </w:tc>
      </w:tr>
      <w:tr>
        <w:trPr>
          <w:cantSplit/>
        </w:trPr>
        <w:tc>
          <w:tcPr>
            <w:tcW w:type="dxa" w:w="2088"/>
            <w:tcMar>
              <w:top w:w="110" w:type="dxa"/>
              <w:start w:w="110" w:type="dxa"/>
              <w:bottom w:w="110" w:type="dxa"/>
              <w:end w:w="110" w:type="dxa"/>
            </w:tcMar>
            <w:vAlign w:val="center"/>
            <w:shd w:fill="EAF3F8"/>
          </w:tcPr>
          <w:p>
            <w:pPr>
              <w:spacing w:after="0"/>
            </w:pPr>
            <w:r>
              <w:rPr>
                <w:sz w:val="19"/>
              </w:rPr>
              <w:t>Salida a terceros</w:t>
            </w:r>
          </w:p>
        </w:tc>
        <w:tc>
          <w:tcPr>
            <w:tcW w:type="dxa" w:w="4680"/>
            <w:tcMar>
              <w:top w:w="110" w:type="dxa"/>
              <w:start w:w="110" w:type="dxa"/>
              <w:bottom w:w="110" w:type="dxa"/>
              <w:end w:w="110" w:type="dxa"/>
            </w:tcMar>
            <w:vAlign w:val="center"/>
            <w:shd w:fill="EAF3F8"/>
          </w:tcPr>
          <w:p>
            <w:pPr>
              <w:spacing w:after="0"/>
            </w:pPr>
            <w:r>
              <w:rPr>
                <w:sz w:val="19"/>
              </w:rPr>
              <w:t>IA externa desactivada por defecto</w:t>
            </w:r>
          </w:p>
        </w:tc>
        <w:tc>
          <w:tcPr>
            <w:tcW w:type="dxa" w:w="2808"/>
            <w:tcMar>
              <w:top w:w="110" w:type="dxa"/>
              <w:start w:w="110" w:type="dxa"/>
              <w:bottom w:w="110" w:type="dxa"/>
              <w:end w:w="110" w:type="dxa"/>
            </w:tcMar>
            <w:vAlign w:val="center"/>
            <w:shd w:fill="EAF3F8"/>
          </w:tcPr>
          <w:p>
            <w:pPr>
              <w:spacing w:after="0"/>
            </w:pPr>
            <w:r>
              <w:rPr>
                <w:sz w:val="19"/>
              </w:rPr>
              <w:t>Autorizar por clasificación de datos</w:t>
            </w:r>
          </w:p>
        </w:tc>
      </w:tr>
      <w:tr>
        <w:trPr>
          <w:cantSplit/>
        </w:trPr>
        <w:tc>
          <w:tcPr>
            <w:tcW w:type="dxa" w:w="2088"/>
            <w:tcMar>
              <w:top w:w="110" w:type="dxa"/>
              <w:start w:w="110" w:type="dxa"/>
              <w:bottom w:w="110" w:type="dxa"/>
              <w:end w:w="110" w:type="dxa"/>
            </w:tcMar>
            <w:vAlign w:val="center"/>
          </w:tcPr>
          <w:p>
            <w:pPr>
              <w:spacing w:after="0"/>
            </w:pPr>
            <w:r>
              <w:rPr>
                <w:sz w:val="19"/>
              </w:rPr>
              <w:t>Exposición web</w:t>
            </w:r>
          </w:p>
        </w:tc>
        <w:tc>
          <w:tcPr>
            <w:tcW w:type="dxa" w:w="4680"/>
            <w:tcMar>
              <w:top w:w="110" w:type="dxa"/>
              <w:start w:w="110" w:type="dxa"/>
              <w:bottom w:w="110" w:type="dxa"/>
              <w:end w:w="110" w:type="dxa"/>
            </w:tcMar>
            <w:vAlign w:val="center"/>
          </w:tcPr>
          <w:p>
            <w:pPr>
              <w:spacing w:after="0"/>
            </w:pPr>
            <w:r>
              <w:rPr>
                <w:sz w:val="19"/>
              </w:rPr>
              <w:t>CORS, validación de origen, CSP y cabeceras de seguridad</w:t>
            </w:r>
          </w:p>
        </w:tc>
        <w:tc>
          <w:tcPr>
            <w:tcW w:type="dxa" w:w="2808"/>
            <w:tcMar>
              <w:top w:w="110" w:type="dxa"/>
              <w:start w:w="110" w:type="dxa"/>
              <w:bottom w:w="110" w:type="dxa"/>
              <w:end w:w="110" w:type="dxa"/>
            </w:tcMar>
            <w:vAlign w:val="center"/>
          </w:tcPr>
          <w:p>
            <w:pPr>
              <w:spacing w:after="0"/>
            </w:pPr>
            <w:r>
              <w:rPr>
                <w:sz w:val="19"/>
              </w:rPr>
              <w:t>No ampliar orígenes innecesariamente</w:t>
            </w:r>
          </w:p>
        </w:tc>
      </w:tr>
    </w:tbl>
    <w:p>
      <w:pPr>
        <w:spacing w:after="40"/>
      </w:pPr>
    </w:p>
    <w:p>
      <w:pPr>
        <w:pStyle w:val="Heading1"/>
      </w:pPr>
      <w:r>
        <w:t>Riesgos pendientes y mejoras recomendadas</w:t>
      </w:r>
    </w:p>
    <w:p>
      <w:pPr>
        <w:pStyle w:val="ListBullet"/>
      </w:pPr>
      <w:r>
        <w:t>No usar HTTP remoto: transmite credenciales, sesiones y documentos sin cifrado. Mantener PRICEBOT_REQUIRE_HTTPS=1 y PRICEBOT_COOKIE_SECURE=1; no ignorar alertas de certificados.</w:t>
      </w:r>
    </w:p>
    <w:p>
      <w:pPr>
        <w:pStyle w:val="ListBullet"/>
      </w:pPr>
      <w:r>
        <w:t>Configurar respaldo cifrado de users.db y una custodia formal de .env.</w:t>
      </w:r>
    </w:p>
    <w:p>
      <w:pPr>
        <w:pStyle w:val="ListBullet"/>
      </w:pPr>
      <w:r>
        <w:t>Asignar propietario y suplente para Claude Platform, Gmail SMTP, GitHub y la PC servidor.</w:t>
      </w:r>
    </w:p>
    <w:p>
      <w:pPr>
        <w:pStyle w:val="ListBullet"/>
      </w:pPr>
      <w:r>
        <w:t>Definir política de retención, clasificación y eliminación de documentos procesados.</w:t>
      </w:r>
    </w:p>
    <w:p>
      <w:pPr>
        <w:pStyle w:val="ListBullet"/>
      </w:pPr>
      <w:r>
        <w:t>Revisar trimestralmente usuarios, claves, créditos, firewall, actualizaciones y registros de costos.</w:t>
      </w:r>
    </w:p>
    <w:p>
      <w:pPr>
        <w:pStyle w:val="Heading1"/>
      </w:pPr>
      <w:r>
        <w:t>Respuesta ante incidentes</w:t>
      </w:r>
    </w:p>
    <w:p>
      <w:pPr>
        <w:spacing w:after="60"/>
        <w:ind w:left="403" w:hanging="403"/>
      </w:pPr>
      <w:r>
        <w:t>1. Detener PriceBot y desconectar el servidor de la red si hay acceso no autorizado o fuga de documentos.</w:t>
      </w:r>
    </w:p>
    <w:p>
      <w:pPr>
        <w:spacing w:after="60"/>
        <w:ind w:left="403" w:hanging="403"/>
      </w:pPr>
      <w:r>
        <w:t>2. Deshabilitar o eliminar los usuarios afectados.</w:t>
      </w:r>
    </w:p>
    <w:p>
      <w:pPr>
        <w:spacing w:after="60"/>
        <w:ind w:left="403" w:hanging="403"/>
      </w:pPr>
      <w:r>
        <w:t>3. Rotar ANTHROPIC_API_KEY, contraseña de aplicación Gmail y PRICEBOT_SESSION_SECRET cuando corresponda.</w:t>
      </w:r>
    </w:p>
    <w:p>
      <w:pPr>
        <w:spacing w:after="60"/>
        <w:ind w:left="403" w:hanging="403"/>
      </w:pPr>
      <w:r>
        <w:t>4. Revisar actividad de Claude Platform, Google, GitHub y Windows.</w:t>
      </w:r>
    </w:p>
    <w:p>
      <w:pPr>
        <w:spacing w:after="60"/>
        <w:ind w:left="403" w:hanging="403"/>
      </w:pPr>
      <w:r>
        <w:t>5. Preservar registros necesarios para investigación sin copiar documentos confidenciales a medios no aprobados.</w:t>
      </w:r>
    </w:p>
    <w:p>
      <w:pPr>
        <w:spacing w:after="60"/>
        <w:ind w:left="403" w:hanging="403"/>
      </w:pPr>
      <w:r>
        <w:t>6. Documentar fecha, alcance, archivos involucrados, acciones y responsable del cierre.</w:t>
      </w:r>
    </w:p>
    <w:p>
      <w:pPr>
        <w:pStyle w:val="Heading1"/>
        <w:pageBreakBefore/>
      </w:pPr>
      <w:r>
        <w:t>Lista de verificación posterior a una actualización</w:t>
      </w:r>
    </w:p>
    <w:p>
      <w:pPr>
        <w:pStyle w:val="ListBullet"/>
        <w:spacing w:after="0" w:line="240" w:lineRule="auto"/>
      </w:pPr>
      <w:r>
        <w:t>☐ El lanzador inicia backend y frontend sin errores.</w:t>
      </w:r>
    </w:p>
    <w:p>
      <w:pPr>
        <w:pStyle w:val="ListBullet"/>
        <w:spacing w:after="0" w:line="240" w:lineRule="auto"/>
      </w:pPr>
      <w:r>
        <w:t>☐ La URL local entra como Administrador local sin solicitar contraseña.</w:t>
      </w:r>
    </w:p>
    <w:p>
      <w:pPr>
        <w:pStyle w:val="ListBullet"/>
        <w:spacing w:after="0" w:line="240" w:lineRule="auto"/>
      </w:pPr>
      <w:r>
        <w:t>☐ La URL HTTPS abre sin alertas en cada PC y el correo de confirmación usa ese mismo nombre.</w:t>
      </w:r>
    </w:p>
    <w:p>
      <w:pPr>
        <w:pStyle w:val="ListBullet"/>
        <w:spacing w:after="0" w:line="240" w:lineRule="auto"/>
      </w:pPr>
      <w:r>
        <w:t>☐ Crear, modificar, deshabilitar, habilitar y eliminar usuarios funciona.</w:t>
      </w:r>
    </w:p>
    <w:p>
      <w:pPr>
        <w:pStyle w:val="ListBullet"/>
        <w:spacing w:after="0" w:line="240" w:lineRule="auto"/>
      </w:pPr>
      <w:r>
        <w:t>☐ Un archivo pequeño válido se procesa y descarga correctamente.</w:t>
      </w:r>
    </w:p>
    <w:p>
      <w:pPr>
        <w:pStyle w:val="ListBullet"/>
        <w:spacing w:after="0" w:line="240" w:lineRule="auto"/>
      </w:pPr>
      <w:r>
        <w:t>☐ Un archivo con extensión falsa o tamaño excesivo es rechazado.</w:t>
      </w:r>
    </w:p>
    <w:p>
      <w:pPr>
        <w:pStyle w:val="ListBullet"/>
        <w:spacing w:after="0" w:line="240" w:lineRule="auto"/>
      </w:pPr>
      <w:r>
        <w:t>☐ La salida coincide con una muestra del documento original.</w:t>
      </w:r>
    </w:p>
    <w:p>
      <w:pPr>
        <w:pStyle w:val="ListBullet"/>
        <w:spacing w:after="0" w:line="240" w:lineRule="auto"/>
      </w:pPr>
      <w:r>
        <w:t>☐ IA externa solo con saldo aprobado; Git sin documentos ni secretos.</w:t>
      </w:r>
    </w:p>
    <w:p>
      <w:pPr>
        <w:pStyle w:val="ListBullet"/>
      </w:pPr>
      <w:r>
        <w:t>☐ Desde una PC autorizada, /health responde status ok por HTTPS sin advertencias.</w:t>
      </w:r>
    </w:p>
    <w:p>
      <w:pPr>
        <w:pStyle w:val="ListBullet"/>
      </w:pPr>
      <w:r>
        <w:t>☐ Una conexión HTTP remota se rechaza; no se aceptaron excepciones del navegador.</w:t>
      </w:r>
    </w:p>
    <w:sectPr w:rsidR="00FC693F" w:rsidRPr="0006063C" w:rsidSect="00034616">
      <w:footerReference w:type="default" r:id="rId18"/>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7"/>
      </w:rPr>
      <w:t>Manual de administración y operación de PriceBot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sz w:val="20"/>
    </w:rPr>
  </w:style>
  <w:style w:type="paragraph" w:styleId="ListBullet2">
    <w:name w:val="List Bullet 2"/>
    <w:basedOn w:val="Normal"/>
    <w:uiPriority w:val="99"/>
    <w:unhideWhenUsed/>
    <w:rsid w:val="00326F90"/>
    <w:pPr>
      <w:numPr>
        <w:numId w:val="2"/>
      </w:numPr>
      <w:spacing w:after="40"/>
      <w:contextualSpacing/>
    </w:pPr>
    <w:rPr>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127.0.0.1:3000" TargetMode="External"/><Relationship Id="rId10" Type="http://schemas.openxmlformats.org/officeDocument/2006/relationships/hyperlink" Target="http://192.168.190.146:3000" TargetMode="External"/><Relationship Id="rId11" Type="http://schemas.openxmlformats.org/officeDocument/2006/relationships/hyperlink" Target="http://192.168.190.146:8000/health" TargetMode="External"/><Relationship Id="rId12" Type="http://schemas.openxmlformats.org/officeDocument/2006/relationships/hyperlink" Target="https://github.com/GaryPoui/AnalizadorPlanillas" TargetMode="External"/><Relationship Id="rId13" Type="http://schemas.openxmlformats.org/officeDocument/2006/relationships/hyperlink" Target="https://platform.claude.com/settings/keys" TargetMode="External"/><Relationship Id="rId14" Type="http://schemas.openxmlformats.org/officeDocument/2006/relationships/hyperlink" Target="https://platform.claude.com/settings/billing" TargetMode="External"/><Relationship Id="rId15" Type="http://schemas.openxmlformats.org/officeDocument/2006/relationships/hyperlink" Target="https://platform.claude.com/usage" TargetMode="External"/><Relationship Id="rId16" Type="http://schemas.openxmlformats.org/officeDocument/2006/relationships/hyperlink" Target="https://status.anthropic.com" TargetMode="External"/><Relationship Id="rId17" Type="http://schemas.openxmlformats.org/officeDocument/2006/relationships/hyperlink" Target="https://myaccount.google.com/apppasswords" TargetMode="External"/><Relationship Id="rId18" Type="http://schemas.openxmlformats.org/officeDocument/2006/relationships/footer" Target="footer1.xml"/><Relationship Id="rId19" Type="http://schemas.openxmlformats.org/officeDocument/2006/relationships/hyperlink" Target="https://192.168.190.146:3000" TargetMode="External"/><Relationship Id="rId20" Type="http://schemas.openxmlformats.org/officeDocument/2006/relationships/hyperlink" Target="https://192.168.190.146:8000/heal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administración y operación de PriceBot</dc:title>
  <dc:subject>Operación, usuarios, accesos, tokens, créditos y seguridad</dc:subject>
  <dc:creator>Área de Administración</dc:creator>
  <cp:keywords>PriceBot administración seguridad usuarios Anthropic</cp:keywords>
  <dc:description>generated by python-docx</dc:description>
  <cp:lastModifiedBy/>
  <cp:revision>1</cp:revision>
  <dcterms:created xsi:type="dcterms:W3CDTF">2013-12-23T23:15:00Z</dcterms:created>
  <dcterms:modified xsi:type="dcterms:W3CDTF">2013-12-23T23:15:00Z</dcterms:modified>
  <cp:category/>
</cp:coreProperties>
</file>