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00000"/>
        </w:rPr>
        <w:t>Manual de administración y operación de PriceBot</w:t>
      </w:r>
    </w:p>
    <w:p>
      <w:pPr>
        <w:spacing w:after="360"/>
      </w:pPr>
      <w:r>
        <w:rPr>
          <w:b/>
        </w:rPr>
        <w:t>Guía de puesta en marcha seguridad usuarios tokens créditos y uso diario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val="true"/>
          <w:cantSplit/>
        </w:trPr>
        <w:tc>
          <w:tcPr>
            <w:tcW w:type="dxa" w:w="2376"/>
            <w:shd w:fill="183B56"/>
            <w:tcMar>
              <w:top w:w="110" w:type="dxa"/>
              <w:start w:w="110" w:type="dxa"/>
              <w:bottom w:w="110" w:type="dxa"/>
              <w:end w:w="110" w:type="dxa"/>
            </w:tcMar>
            <w:vAlign w:val="center"/>
          </w:tcPr>
          <w:p>
            <w:pPr>
              <w:jc w:val="center"/>
            </w:pPr>
            <w:r>
              <w:rPr>
                <w:b/>
                <w:color w:val="FFFFFF"/>
                <w:sz w:val="19"/>
              </w:rPr>
              <w:t>Dato</w:t>
            </w:r>
          </w:p>
        </w:tc>
        <w:tc>
          <w:tcPr>
            <w:tcW w:type="dxa" w:w="7272"/>
            <w:shd w:fill="183B56"/>
            <w:tcMar>
              <w:top w:w="110" w:type="dxa"/>
              <w:start w:w="110" w:type="dxa"/>
              <w:bottom w:w="110" w:type="dxa"/>
              <w:end w:w="110" w:type="dxa"/>
            </w:tcMar>
            <w:vAlign w:val="center"/>
          </w:tcPr>
          <w:p>
            <w:pPr>
              <w:jc w:val="center"/>
            </w:pPr>
            <w:r>
              <w:rPr>
                <w:b/>
                <w:color w:val="FFFFFF"/>
                <w:sz w:val="19"/>
              </w:rPr>
              <w:t>Valor</w:t>
            </w:r>
          </w:p>
        </w:tc>
      </w:tr>
      <w:tr>
        <w:trPr>
          <w:cantSplit/>
        </w:trPr>
        <w:tc>
          <w:tcPr>
            <w:tcW w:type="dxa" w:w="2376"/>
            <w:tcMar>
              <w:top w:w="110" w:type="dxa"/>
              <w:start w:w="110" w:type="dxa"/>
              <w:bottom w:w="110" w:type="dxa"/>
              <w:end w:w="110" w:type="dxa"/>
            </w:tcMar>
            <w:vAlign w:val="center"/>
          </w:tcPr>
          <w:p>
            <w:pPr>
              <w:spacing w:after="0"/>
            </w:pPr>
            <w:r>
              <w:rPr>
                <w:sz w:val="19"/>
              </w:rPr>
              <w:t>Destinatario</w:t>
            </w:r>
          </w:p>
        </w:tc>
        <w:tc>
          <w:tcPr>
            <w:tcW w:type="dxa" w:w="7272"/>
            <w:tcMar>
              <w:top w:w="110" w:type="dxa"/>
              <w:start w:w="110" w:type="dxa"/>
              <w:bottom w:w="110" w:type="dxa"/>
              <w:end w:w="110" w:type="dxa"/>
            </w:tcMar>
            <w:vAlign w:val="center"/>
          </w:tcPr>
          <w:p>
            <w:pPr>
              <w:spacing w:after="0"/>
            </w:pPr>
            <w:r>
              <w:rPr>
                <w:sz w:val="19"/>
              </w:rPr>
              <w:t>Área de Administración y soporte técnico</w:t>
            </w:r>
          </w:p>
        </w:tc>
      </w:tr>
      <w:tr>
        <w:trPr>
          <w:cantSplit/>
        </w:trPr>
        <w:tc>
          <w:tcPr>
            <w:tcW w:type="dxa" w:w="2376"/>
            <w:tcMar>
              <w:top w:w="110" w:type="dxa"/>
              <w:start w:w="110" w:type="dxa"/>
              <w:bottom w:w="110" w:type="dxa"/>
              <w:end w:w="110" w:type="dxa"/>
            </w:tcMar>
            <w:vAlign w:val="center"/>
            <w:shd w:fill="EAF3F8"/>
          </w:tcPr>
          <w:p>
            <w:pPr>
              <w:spacing w:after="0"/>
            </w:pPr>
            <w:r>
              <w:rPr>
                <w:sz w:val="19"/>
              </w:rPr>
              <w:t>Sistema</w:t>
            </w:r>
          </w:p>
        </w:tc>
        <w:tc>
          <w:tcPr>
            <w:tcW w:type="dxa" w:w="7272"/>
            <w:tcMar>
              <w:top w:w="110" w:type="dxa"/>
              <w:start w:w="110" w:type="dxa"/>
              <w:bottom w:w="110" w:type="dxa"/>
              <w:end w:w="110" w:type="dxa"/>
            </w:tcMar>
            <w:vAlign w:val="center"/>
            <w:shd w:fill="EAF3F8"/>
          </w:tcPr>
          <w:p>
            <w:pPr>
              <w:spacing w:after="0"/>
            </w:pPr>
            <w:r>
              <w:rPr>
                <w:sz w:val="19"/>
              </w:rPr>
              <w:t>AnalizadorPlanillas PriceBot</w:t>
            </w:r>
          </w:p>
        </w:tc>
      </w:tr>
      <w:tr>
        <w:trPr>
          <w:cantSplit/>
        </w:trPr>
        <w:tc>
          <w:tcPr>
            <w:tcW w:type="dxa" w:w="2376"/>
            <w:tcMar>
              <w:top w:w="110" w:type="dxa"/>
              <w:start w:w="110" w:type="dxa"/>
              <w:bottom w:w="110" w:type="dxa"/>
              <w:end w:w="110" w:type="dxa"/>
            </w:tcMar>
            <w:vAlign w:val="center"/>
          </w:tcPr>
          <w:p>
            <w:pPr>
              <w:spacing w:after="0"/>
            </w:pPr>
            <w:r>
              <w:rPr>
                <w:sz w:val="19"/>
              </w:rPr>
              <w:t>Servidor de referencia</w:t>
            </w:r>
          </w:p>
        </w:tc>
        <w:tc>
          <w:tcPr>
            <w:tcW w:type="dxa" w:w="7272"/>
            <w:tcMar>
              <w:top w:w="110" w:type="dxa"/>
              <w:start w:w="110" w:type="dxa"/>
              <w:bottom w:w="110" w:type="dxa"/>
              <w:end w:w="110" w:type="dxa"/>
            </w:tcMar>
            <w:vAlign w:val="center"/>
          </w:tcPr>
          <w:p>
            <w:pPr>
              <w:spacing w:after="0"/>
            </w:pPr>
            <w:r>
              <w:rPr>
                <w:sz w:val="19"/>
              </w:rPr>
              <w:t>192.168.190.146 en la red 192.168.190.0/24</w:t>
            </w:r>
          </w:p>
        </w:tc>
      </w:tr>
      <w:tr>
        <w:trPr>
          <w:cantSplit/>
        </w:trPr>
        <w:tc>
          <w:tcPr>
            <w:tcW w:type="dxa" w:w="2376"/>
            <w:tcMar>
              <w:top w:w="110" w:type="dxa"/>
              <w:start w:w="110" w:type="dxa"/>
              <w:bottom w:w="110" w:type="dxa"/>
              <w:end w:w="110" w:type="dxa"/>
            </w:tcMar>
            <w:vAlign w:val="center"/>
            <w:shd w:fill="EAF3F8"/>
          </w:tcPr>
          <w:p>
            <w:pPr>
              <w:spacing w:after="0"/>
            </w:pPr>
            <w:r>
              <w:rPr>
                <w:sz w:val="19"/>
              </w:rPr>
              <w:t>Versión del manual</w:t>
            </w:r>
          </w:p>
        </w:tc>
        <w:tc>
          <w:tcPr>
            <w:tcW w:type="dxa" w:w="7272"/>
            <w:tcMar>
              <w:top w:w="110" w:type="dxa"/>
              <w:start w:w="110" w:type="dxa"/>
              <w:bottom w:w="110" w:type="dxa"/>
              <w:end w:w="110" w:type="dxa"/>
            </w:tcMar>
            <w:vAlign w:val="center"/>
            <w:shd w:fill="EAF3F8"/>
          </w:tcPr>
          <w:p>
            <w:r>
              <w:t>13 de octubre de 2026 · Acceso HTTPS automático</w:t>
            </w:r>
          </w:p>
        </w:tc>
      </w:tr>
      <w:tr>
        <w:trPr>
          <w:cantSplit/>
        </w:trPr>
        <w:tc>
          <w:tcPr>
            <w:tcW w:type="dxa" w:w="2376"/>
            <w:tcMar>
              <w:top w:w="110" w:type="dxa"/>
              <w:start w:w="110" w:type="dxa"/>
              <w:bottom w:w="110" w:type="dxa"/>
              <w:end w:w="110" w:type="dxa"/>
            </w:tcMar>
            <w:vAlign w:val="center"/>
          </w:tcPr>
          <w:p>
            <w:pPr>
              <w:spacing w:after="0"/>
            </w:pPr>
            <w:r>
              <w:rPr>
                <w:sz w:val="19"/>
              </w:rPr>
              <w:t>Repositorio</w:t>
            </w:r>
          </w:p>
        </w:tc>
        <w:tc>
          <w:tcPr>
            <w:tcW w:type="dxa" w:w="7272"/>
            <w:tcMar>
              <w:top w:w="110" w:type="dxa"/>
              <w:start w:w="110" w:type="dxa"/>
              <w:bottom w:w="110" w:type="dxa"/>
              <w:end w:w="110" w:type="dxa"/>
            </w:tcMar>
            <w:vAlign w:val="center"/>
          </w:tcPr>
          <w:p>
            <w:pPr>
              <w:spacing w:after="0"/>
            </w:pPr>
            <w:r>
              <w:rPr>
                <w:sz w:val="19"/>
              </w:rPr>
              <w:t>github.com/GaryPoui/AnalizadorPlanillas</w:t>
            </w:r>
          </w:p>
        </w:tc>
      </w:tr>
    </w:tbl>
    <w:p>
      <w:pPr>
        <w:spacing w:after="40"/>
      </w:pPr>
    </w:p>
    <w:p>
      <w:pPr>
        <w:pStyle w:val="Heading1"/>
      </w:pPr>
      <w:r>
        <w:rPr>
          <w:color w:val="000000"/>
        </w:rPr>
        <w:t>Objetivo y alcance</w:t>
      </w:r>
    </w:p>
    <w:p>
      <w:r>
        <w:t>Este manual permite que el área de Administración opere PriceBot, gestione accesos, mantenga las cuentas externas y controle el consumo de créditos sin depender del equipo que desarrolló la aplicación. También establece qué datos pueden compartirse y qué secretos deben permanecer únicamente en la computadora servidor.</w:t>
      </w:r>
    </w:p>
    <w:p>
      <w:r>
        <w:t>PriceBot recibe listas de precios en PDF, Excel, CSV o imagen y genera una planilla normalizada. La extracción local no requiere créditos. El uso de IA externa es opcional y solo debe activarse cuando exista autorización para enviar contenido del documento a Anthropic.</w:t>
      </w:r>
    </w:p>
    <w:p>
      <w:pPr>
        <w:pStyle w:val="Heading1"/>
      </w:pPr>
      <w:r>
        <w:rPr>
          <w:color w:val="000000"/>
        </w:rPr>
        <w:t>Estado operativo y decisión de seguridad</w:t>
      </w:r>
    </w:p>
    <w:p>
      <w:r>
        <w:t>El administrador opera en el servidor desde https://127.0.0.1:3000. Los usuarios acceden por https://192.168.190.146:3000 dentro de la LAN, con confianza en la CA interna y correo confirmado. El lanzador mantiene HTTPS obligatorio en la red y cookies seguras. Sin certificado y clave configurados, solo permite uso local.</w:t>
      </w:r>
    </w:p>
    <w:p>
      <w:pPr>
        <w:pStyle w:val="ListBullet"/>
      </w:pPr>
      <w:r>
        <w:t>No exponer los puertos 3000 u 8000 directamente a Internet.</w:t>
      </w:r>
    </w:p>
    <w:p>
      <w:pPr>
        <w:pStyle w:val="ListBullet"/>
      </w:pPr>
      <w:r>
        <w:t>Permitir acceso únicamente desde la subred autorizada y el perfil de red Privado.</w:t>
      </w:r>
    </w:p>
    <w:p>
      <w:pPr>
        <w:pStyle w:val="ListBullet"/>
      </w:pPr>
      <w:r>
        <w:t>Mantener PRICEBOT_ALLOW_EXTERNAL_AI en 0 si el documento no puede salir de la organización.</w:t>
      </w:r>
    </w:p>
    <w:p>
      <w:pPr>
        <w:pStyle w:val="ListBullet"/>
      </w:pPr>
      <w:r>
        <w:t>No enviar contraseñas, claves API ni contraseñas de aplicación por correo o chat.</w:t>
      </w:r>
    </w:p>
    <w:p>
      <w:pPr>
        <w:pStyle w:val="Heading1"/>
        <w:pageBreakBefore/>
      </w:pPr>
      <w:r>
        <w:rPr>
          <w:color w:val="000000"/>
        </w:rPr>
        <w:t>Enlaces y puntos de acceso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cantSplit/>
        </w:trPr>
        <w:tc>
          <w:tcPr>
            <w:tcW w:type="dxa" w:w="3312"/>
            <w:shd w:fill="183B56"/>
            <w:tcMar>
              <w:top w:w="110" w:type="dxa"/>
              <w:start w:w="110" w:type="dxa"/>
              <w:bottom w:w="110" w:type="dxa"/>
              <w:end w:w="110" w:type="dxa"/>
            </w:tcMar>
          </w:tcPr>
          <w:p>
            <w:pPr>
              <w:jc w:val="center"/>
            </w:pPr>
            <w:r>
              <w:rPr>
                <w:b/>
                <w:color w:val="FFFFFF"/>
                <w:sz w:val="19"/>
              </w:rPr>
              <w:t>Recurso</w:t>
            </w:r>
          </w:p>
        </w:tc>
        <w:tc>
          <w:tcPr>
            <w:tcW w:type="dxa" w:w="3312"/>
            <w:shd w:fill="183B56"/>
            <w:tcMar>
              <w:top w:w="110" w:type="dxa"/>
              <w:start w:w="110" w:type="dxa"/>
              <w:bottom w:w="110" w:type="dxa"/>
              <w:end w:w="110" w:type="dxa"/>
            </w:tcMar>
          </w:tcPr>
          <w:p>
            <w:pPr>
              <w:jc w:val="center"/>
            </w:pPr>
            <w:r>
              <w:rPr>
                <w:b/>
                <w:color w:val="FFFFFF"/>
                <w:sz w:val="19"/>
              </w:rPr>
              <w:t>Enlace</w:t>
            </w:r>
          </w:p>
        </w:tc>
        <w:tc>
          <w:tcPr>
            <w:tcW w:type="dxa" w:w="3312"/>
            <w:shd w:fill="183B56"/>
            <w:tcMar>
              <w:top w:w="110" w:type="dxa"/>
              <w:start w:w="110" w:type="dxa"/>
              <w:bottom w:w="110" w:type="dxa"/>
              <w:end w:w="110" w:type="dxa"/>
            </w:tcMar>
          </w:tcPr>
          <w:p>
            <w:pPr>
              <w:jc w:val="center"/>
            </w:pPr>
            <w:r>
              <w:rPr>
                <w:b/>
                <w:color w:val="FFFFFF"/>
                <w:sz w:val="19"/>
              </w:rPr>
              <w:t>Uso</w:t>
            </w:r>
          </w:p>
        </w:tc>
      </w:tr>
      <w:tr>
        <w:trPr>
          <w:cantSplit/>
        </w:trPr>
        <w:tc>
          <w:tcPr>
            <w:tcW w:type="dxa" w:w="3312"/>
            <w:tcMar>
              <w:top w:w="110" w:type="dxa"/>
              <w:start w:w="110" w:type="dxa"/>
              <w:bottom w:w="110" w:type="dxa"/>
              <w:end w:w="110" w:type="dxa"/>
            </w:tcMar>
            <w:vAlign w:val="center"/>
          </w:tcPr>
          <w:p>
            <w:pPr>
              <w:spacing w:after="0"/>
            </w:pPr>
            <w:r>
              <w:rPr>
                <w:sz w:val="18"/>
              </w:rPr>
              <w:t>Administración local</w:t>
            </w:r>
          </w:p>
        </w:tc>
        <w:tc>
          <w:tcPr>
            <w:tcW w:type="dxa" w:w="3312"/>
            <w:tcMar>
              <w:top w:w="110" w:type="dxa"/>
              <w:start w:w="110" w:type="dxa"/>
              <w:bottom w:w="110" w:type="dxa"/>
              <w:end w:w="110" w:type="dxa"/>
            </w:tcMar>
            <w:vAlign w:val="center"/>
          </w:tcPr>
          <w:p>
            <w:hyperlink r:id="rId21">
              <w:r>
                <w:rPr>
                  <w:color w:val="0563C1"/>
                  <w:u w:val="single"/>
                </w:rPr>
                <w:t>https://127.0.0.1:3000</w:t>
              </w:r>
            </w:hyperlink>
          </w:p>
        </w:tc>
        <w:tc>
          <w:tcPr>
            <w:tcW w:type="dxa" w:w="3312"/>
            <w:tcMar>
              <w:top w:w="110" w:type="dxa"/>
              <w:start w:w="110" w:type="dxa"/>
              <w:bottom w:w="110" w:type="dxa"/>
              <w:end w:w="110" w:type="dxa"/>
            </w:tcMar>
            <w:vAlign w:val="center"/>
          </w:tcPr>
          <w:p>
            <w:r>
              <w:t>Solo desde la PC servidor; acceso como Administrador local</w:t>
            </w:r>
          </w:p>
        </w:tc>
      </w:tr>
      <w:tr>
        <w:trPr>
          <w:cantSplit/>
        </w:trPr>
        <w:tc>
          <w:tcPr>
            <w:tcW w:type="dxa" w:w="3312"/>
            <w:tcMar>
              <w:top w:w="110" w:type="dxa"/>
              <w:start w:w="110" w:type="dxa"/>
              <w:bottom w:w="110" w:type="dxa"/>
              <w:end w:w="110" w:type="dxa"/>
            </w:tcMar>
            <w:vAlign w:val="center"/>
            <w:shd w:fill="EAF3F8"/>
          </w:tcPr>
          <w:p>
            <w:pPr>
              <w:spacing w:after="0"/>
            </w:pPr>
            <w:r>
              <w:rPr>
                <w:sz w:val="18"/>
              </w:rPr>
              <w:t>Acceso de usuarios en LAN</w:t>
            </w:r>
          </w:p>
        </w:tc>
        <w:tc>
          <w:tcPr>
            <w:tcW w:type="dxa" w:w="3312"/>
            <w:tcMar>
              <w:top w:w="110" w:type="dxa"/>
              <w:start w:w="110" w:type="dxa"/>
              <w:bottom w:w="110" w:type="dxa"/>
              <w:end w:w="110" w:type="dxa"/>
            </w:tcMar>
            <w:vAlign w:val="center"/>
            <w:shd w:fill="EAF3F8"/>
          </w:tcPr>
          <w:p>
            <w:r>
              <w:t>https://192.168.190.146:3000</w:t>
            </w:r>
          </w:p>
        </w:tc>
        <w:tc>
          <w:tcPr>
            <w:tcW w:type="dxa" w:w="3312"/>
            <w:tcMar>
              <w:top w:w="110" w:type="dxa"/>
              <w:start w:w="110" w:type="dxa"/>
              <w:bottom w:w="110" w:type="dxa"/>
              <w:end w:w="110" w:type="dxa"/>
            </w:tcMar>
            <w:vAlign w:val="center"/>
            <w:shd w:fill="EAF3F8"/>
          </w:tcPr>
          <w:p>
            <w:r>
              <w:t>HTTPS en la LAN; cada usuario instala confianza con el archivo automático</w:t>
            </w:r>
          </w:p>
        </w:tc>
      </w:tr>
      <w:tr>
        <w:trPr>
          <w:cantSplit/>
        </w:trPr>
        <w:tc>
          <w:tcPr>
            <w:tcW w:type="dxa" w:w="3312"/>
            <w:tcMar>
              <w:top w:w="110" w:type="dxa"/>
              <w:start w:w="110" w:type="dxa"/>
              <w:bottom w:w="110" w:type="dxa"/>
              <w:end w:w="110" w:type="dxa"/>
            </w:tcMar>
            <w:vAlign w:val="center"/>
          </w:tcPr>
          <w:p>
            <w:pPr>
              <w:spacing w:after="0"/>
            </w:pPr>
            <w:r>
              <w:rPr>
                <w:sz w:val="18"/>
              </w:rPr>
              <w:t>Estado de la API</w:t>
            </w:r>
          </w:p>
        </w:tc>
        <w:tc>
          <w:tcPr>
            <w:tcW w:type="dxa" w:w="3312"/>
            <w:tcMar>
              <w:top w:w="110" w:type="dxa"/>
              <w:start w:w="110" w:type="dxa"/>
              <w:bottom w:w="110" w:type="dxa"/>
              <w:end w:w="110" w:type="dxa"/>
            </w:tcMar>
            <w:vAlign w:val="center"/>
          </w:tcPr>
          <w:p>
            <w:r>
              <w:t>https://192.168.190.146:8000/health</w:t>
            </w:r>
          </w:p>
        </w:tc>
        <w:tc>
          <w:tcPr>
            <w:tcW w:type="dxa" w:w="3312"/>
            <w:tcMar>
              <w:top w:w="110" w:type="dxa"/>
              <w:start w:w="110" w:type="dxa"/>
              <w:bottom w:w="110" w:type="dxa"/>
              <w:end w:w="110" w:type="dxa"/>
            </w:tcMar>
            <w:vAlign w:val="center"/>
          </w:tcPr>
          <w:p>
            <w:r>
              <w:t>Diagnóstico HTTPS; debe responder status ok</w:t>
            </w:r>
          </w:p>
        </w:tc>
      </w:tr>
      <w:tr>
        <w:trPr>
          <w:cantSplit/>
        </w:trPr>
        <w:tc>
          <w:tcPr>
            <w:tcW w:type="dxa" w:w="3312"/>
            <w:tcMar>
              <w:top w:w="110" w:type="dxa"/>
              <w:start w:w="110" w:type="dxa"/>
              <w:bottom w:w="110" w:type="dxa"/>
              <w:end w:w="110" w:type="dxa"/>
            </w:tcMar>
            <w:vAlign w:val="center"/>
            <w:shd w:fill="EAF3F8"/>
          </w:tcPr>
          <w:p>
            <w:pPr>
              <w:spacing w:after="0"/>
            </w:pPr>
            <w:r>
              <w:rPr>
                <w:sz w:val="18"/>
              </w:rPr>
              <w:t>Repositorio del proyecto</w:t>
            </w:r>
          </w:p>
        </w:tc>
        <w:tc>
          <w:tcPr>
            <w:tcW w:type="dxa" w:w="3312"/>
            <w:tcMar>
              <w:top w:w="110" w:type="dxa"/>
              <w:start w:w="110" w:type="dxa"/>
              <w:bottom w:w="110" w:type="dxa"/>
              <w:end w:w="110" w:type="dxa"/>
            </w:tcMar>
            <w:vAlign w:val="center"/>
            <w:shd w:fill="EAF3F8"/>
          </w:tcPr>
          <w:p>
            <w:pPr>
              <w:spacing w:after="0"/>
            </w:pPr>
            <w:hyperlink r:id="rId12">
              <w:r>
                <w:rPr>
                  <w:color w:val="0563C1"/>
                  <w:u w:val="single"/>
                </w:rPr>
                <w:t>https://github.com/GaryPoui/AnalizadorPlanillas</w:t>
              </w:r>
            </w:hyperlink>
          </w:p>
        </w:tc>
        <w:tc>
          <w:tcPr>
            <w:tcW w:type="dxa" w:w="3312"/>
            <w:tcMar>
              <w:top w:w="110" w:type="dxa"/>
              <w:start w:w="110" w:type="dxa"/>
              <w:bottom w:w="110" w:type="dxa"/>
              <w:end w:w="110" w:type="dxa"/>
            </w:tcMar>
            <w:vAlign w:val="center"/>
            <w:shd w:fill="EAF3F8"/>
          </w:tcPr>
          <w:p>
            <w:pPr>
              <w:spacing w:after="0"/>
            </w:pPr>
            <w:r>
              <w:rPr>
                <w:sz w:val="18"/>
              </w:rPr>
              <w:t>Código, historial y actualizaciones</w:t>
            </w:r>
          </w:p>
        </w:tc>
      </w:tr>
      <w:tr>
        <w:trPr>
          <w:cantSplit/>
        </w:trPr>
        <w:tc>
          <w:tcPr>
            <w:tcW w:type="dxa" w:w="3312"/>
            <w:tcMar>
              <w:top w:w="110" w:type="dxa"/>
              <w:start w:w="110" w:type="dxa"/>
              <w:bottom w:w="110" w:type="dxa"/>
              <w:end w:w="110" w:type="dxa"/>
            </w:tcMar>
            <w:vAlign w:val="center"/>
          </w:tcPr>
          <w:p>
            <w:pPr>
              <w:spacing w:after="0"/>
            </w:pPr>
            <w:r>
              <w:rPr>
                <w:sz w:val="18"/>
              </w:rPr>
              <w:t>Claves de Claude Platform</w:t>
            </w:r>
          </w:p>
        </w:tc>
        <w:tc>
          <w:tcPr>
            <w:tcW w:type="dxa" w:w="3312"/>
            <w:tcMar>
              <w:top w:w="110" w:type="dxa"/>
              <w:start w:w="110" w:type="dxa"/>
              <w:bottom w:w="110" w:type="dxa"/>
              <w:end w:w="110" w:type="dxa"/>
            </w:tcMar>
            <w:vAlign w:val="center"/>
          </w:tcPr>
          <w:p>
            <w:pPr>
              <w:spacing w:after="0"/>
            </w:pPr>
            <w:hyperlink r:id="rId13">
              <w:r>
                <w:rPr>
                  <w:color w:val="0563C1"/>
                  <w:u w:val="single"/>
                </w:rPr>
                <w:t>https://platform.claude.com/settings/keys</w:t>
              </w:r>
            </w:hyperlink>
          </w:p>
        </w:tc>
        <w:tc>
          <w:tcPr>
            <w:tcW w:type="dxa" w:w="3312"/>
            <w:tcMar>
              <w:top w:w="110" w:type="dxa"/>
              <w:start w:w="110" w:type="dxa"/>
              <w:bottom w:w="110" w:type="dxa"/>
              <w:end w:w="110" w:type="dxa"/>
            </w:tcMar>
            <w:vAlign w:val="center"/>
          </w:tcPr>
          <w:p>
            <w:pPr>
              <w:spacing w:after="0"/>
            </w:pPr>
            <w:r>
              <w:rPr>
                <w:sz w:val="18"/>
              </w:rPr>
              <w:t>Crear y rotar ANTHROPIC_API_KEY</w:t>
            </w:r>
          </w:p>
        </w:tc>
      </w:tr>
      <w:tr>
        <w:trPr>
          <w:cantSplit/>
        </w:trPr>
        <w:tc>
          <w:tcPr>
            <w:tcW w:type="dxa" w:w="3312"/>
            <w:tcMar>
              <w:top w:w="110" w:type="dxa"/>
              <w:start w:w="110" w:type="dxa"/>
              <w:bottom w:w="110" w:type="dxa"/>
              <w:end w:w="110" w:type="dxa"/>
            </w:tcMar>
            <w:vAlign w:val="center"/>
            <w:shd w:fill="EAF3F8"/>
          </w:tcPr>
          <w:p>
            <w:pPr>
              <w:spacing w:after="0"/>
            </w:pPr>
            <w:r>
              <w:rPr>
                <w:sz w:val="18"/>
              </w:rPr>
              <w:t>Facturación de Claude Platform</w:t>
            </w:r>
          </w:p>
        </w:tc>
        <w:tc>
          <w:tcPr>
            <w:tcW w:type="dxa" w:w="3312"/>
            <w:tcMar>
              <w:top w:w="110" w:type="dxa"/>
              <w:start w:w="110" w:type="dxa"/>
              <w:bottom w:w="110" w:type="dxa"/>
              <w:end w:w="110" w:type="dxa"/>
            </w:tcMar>
            <w:vAlign w:val="center"/>
            <w:shd w:fill="EAF3F8"/>
          </w:tcPr>
          <w:p>
            <w:pPr>
              <w:spacing w:after="0"/>
            </w:pPr>
            <w:hyperlink r:id="rId14">
              <w:r>
                <w:rPr>
                  <w:color w:val="0563C1"/>
                  <w:u w:val="single"/>
                </w:rPr>
                <w:t>https://platform.claude.com/settings/billing</w:t>
              </w:r>
            </w:hyperlink>
          </w:p>
        </w:tc>
        <w:tc>
          <w:tcPr>
            <w:tcW w:type="dxa" w:w="3312"/>
            <w:tcMar>
              <w:top w:w="110" w:type="dxa"/>
              <w:start w:w="110" w:type="dxa"/>
              <w:bottom w:w="110" w:type="dxa"/>
              <w:end w:w="110" w:type="dxa"/>
            </w:tcMar>
            <w:vAlign w:val="center"/>
            <w:shd w:fill="EAF3F8"/>
          </w:tcPr>
          <w:p>
            <w:pPr>
              <w:spacing w:after="0"/>
            </w:pPr>
            <w:r>
              <w:rPr>
                <w:sz w:val="18"/>
              </w:rPr>
              <w:t>Comprar créditos y configurar recarga</w:t>
            </w:r>
          </w:p>
        </w:tc>
      </w:tr>
      <w:tr>
        <w:trPr>
          <w:cantSplit/>
        </w:trPr>
        <w:tc>
          <w:tcPr>
            <w:tcW w:type="dxa" w:w="3312"/>
            <w:tcMar>
              <w:top w:w="110" w:type="dxa"/>
              <w:start w:w="110" w:type="dxa"/>
              <w:bottom w:w="110" w:type="dxa"/>
              <w:end w:w="110" w:type="dxa"/>
            </w:tcMar>
            <w:vAlign w:val="center"/>
          </w:tcPr>
          <w:p>
            <w:pPr>
              <w:spacing w:after="0"/>
            </w:pPr>
            <w:r>
              <w:rPr>
                <w:sz w:val="18"/>
              </w:rPr>
              <w:t>Uso de Claude Platform</w:t>
            </w:r>
          </w:p>
        </w:tc>
        <w:tc>
          <w:tcPr>
            <w:tcW w:type="dxa" w:w="3312"/>
            <w:tcMar>
              <w:top w:w="110" w:type="dxa"/>
              <w:start w:w="110" w:type="dxa"/>
              <w:bottom w:w="110" w:type="dxa"/>
              <w:end w:w="110" w:type="dxa"/>
            </w:tcMar>
            <w:vAlign w:val="center"/>
          </w:tcPr>
          <w:p>
            <w:pPr>
              <w:spacing w:after="0"/>
            </w:pPr>
            <w:hyperlink r:id="rId15">
              <w:r>
                <w:rPr>
                  <w:color w:val="0563C1"/>
                  <w:u w:val="single"/>
                </w:rPr>
                <w:t>https://platform.claude.com/usage</w:t>
              </w:r>
            </w:hyperlink>
          </w:p>
        </w:tc>
        <w:tc>
          <w:tcPr>
            <w:tcW w:type="dxa" w:w="3312"/>
            <w:tcMar>
              <w:top w:w="110" w:type="dxa"/>
              <w:start w:w="110" w:type="dxa"/>
              <w:bottom w:w="110" w:type="dxa"/>
              <w:end w:w="110" w:type="dxa"/>
            </w:tcMar>
            <w:vAlign w:val="center"/>
          </w:tcPr>
          <w:p>
            <w:pPr>
              <w:spacing w:after="0"/>
            </w:pPr>
            <w:r>
              <w:rPr>
                <w:sz w:val="18"/>
              </w:rPr>
              <w:t>Controlar tokens y costos</w:t>
            </w:r>
          </w:p>
        </w:tc>
      </w:tr>
      <w:tr>
        <w:trPr>
          <w:cantSplit/>
        </w:trPr>
        <w:tc>
          <w:tcPr>
            <w:tcW w:type="dxa" w:w="3312"/>
            <w:tcMar>
              <w:top w:w="110" w:type="dxa"/>
              <w:start w:w="110" w:type="dxa"/>
              <w:bottom w:w="110" w:type="dxa"/>
              <w:end w:w="110" w:type="dxa"/>
            </w:tcMar>
            <w:vAlign w:val="center"/>
            <w:shd w:fill="EAF3F8"/>
          </w:tcPr>
          <w:p>
            <w:pPr>
              <w:spacing w:after="0"/>
            </w:pPr>
            <w:r>
              <w:rPr>
                <w:sz w:val="18"/>
              </w:rPr>
              <w:t>Estado de Anthropic</w:t>
            </w:r>
          </w:p>
        </w:tc>
        <w:tc>
          <w:tcPr>
            <w:tcW w:type="dxa" w:w="3312"/>
            <w:tcMar>
              <w:top w:w="110" w:type="dxa"/>
              <w:start w:w="110" w:type="dxa"/>
              <w:bottom w:w="110" w:type="dxa"/>
              <w:end w:w="110" w:type="dxa"/>
            </w:tcMar>
            <w:vAlign w:val="center"/>
            <w:shd w:fill="EAF3F8"/>
          </w:tcPr>
          <w:p>
            <w:pPr>
              <w:spacing w:after="0"/>
            </w:pPr>
            <w:hyperlink r:id="rId16">
              <w:r>
                <w:rPr>
                  <w:color w:val="0563C1"/>
                  <w:u w:val="single"/>
                </w:rPr>
                <w:t>https://status.anthropic.com</w:t>
              </w:r>
            </w:hyperlink>
          </w:p>
        </w:tc>
        <w:tc>
          <w:tcPr>
            <w:tcW w:type="dxa" w:w="3312"/>
            <w:tcMar>
              <w:top w:w="110" w:type="dxa"/>
              <w:start w:w="110" w:type="dxa"/>
              <w:bottom w:w="110" w:type="dxa"/>
              <w:end w:w="110" w:type="dxa"/>
            </w:tcMar>
            <w:vAlign w:val="center"/>
            <w:shd w:fill="EAF3F8"/>
          </w:tcPr>
          <w:p>
            <w:pPr>
              <w:spacing w:after="0"/>
            </w:pPr>
            <w:r>
              <w:rPr>
                <w:sz w:val="18"/>
              </w:rPr>
              <w:t>Ver incidentes del proveedor</w:t>
            </w:r>
          </w:p>
        </w:tc>
      </w:tr>
      <w:tr>
        <w:trPr>
          <w:cantSplit/>
        </w:trPr>
        <w:tc>
          <w:tcPr>
            <w:tcW w:type="dxa" w:w="3312"/>
            <w:tcMar>
              <w:top w:w="110" w:type="dxa"/>
              <w:start w:w="110" w:type="dxa"/>
              <w:bottom w:w="110" w:type="dxa"/>
              <w:end w:w="110" w:type="dxa"/>
            </w:tcMar>
            <w:vAlign w:val="center"/>
          </w:tcPr>
          <w:p>
            <w:pPr>
              <w:spacing w:after="0"/>
            </w:pPr>
            <w:r>
              <w:rPr>
                <w:sz w:val="18"/>
              </w:rPr>
              <w:t>Contraseñas de aplicación Google</w:t>
            </w:r>
          </w:p>
        </w:tc>
        <w:tc>
          <w:tcPr>
            <w:tcW w:type="dxa" w:w="3312"/>
            <w:tcMar>
              <w:top w:w="110" w:type="dxa"/>
              <w:start w:w="110" w:type="dxa"/>
              <w:bottom w:w="110" w:type="dxa"/>
              <w:end w:w="110" w:type="dxa"/>
            </w:tcMar>
            <w:vAlign w:val="center"/>
          </w:tcPr>
          <w:p>
            <w:pPr>
              <w:spacing w:after="0"/>
            </w:pPr>
            <w:hyperlink r:id="rId17">
              <w:r>
                <w:rPr>
                  <w:color w:val="0563C1"/>
                  <w:u w:val="single"/>
                </w:rPr>
                <w:t>https://myaccount.google.com/apppasswords</w:t>
              </w:r>
            </w:hyperlink>
          </w:p>
        </w:tc>
        <w:tc>
          <w:tcPr>
            <w:tcW w:type="dxa" w:w="3312"/>
            <w:tcMar>
              <w:top w:w="110" w:type="dxa"/>
              <w:start w:w="110" w:type="dxa"/>
              <w:bottom w:w="110" w:type="dxa"/>
              <w:end w:w="110" w:type="dxa"/>
            </w:tcMar>
            <w:vAlign w:val="center"/>
          </w:tcPr>
          <w:p>
            <w:pPr>
              <w:spacing w:after="0"/>
            </w:pPr>
            <w:r>
              <w:rPr>
                <w:sz w:val="18"/>
              </w:rPr>
              <w:t>Rotar la credencial SMTP de Gmail</w:t>
            </w:r>
          </w:p>
        </w:tc>
      </w:tr>
      <w:tr>
        <w:tc>
          <w:tcPr>
            <w:tcW w:type="dxa" w:w="3312"/>
          </w:tcPr>
          <w:p>
            <w:r>
              <w:t>Acceso automático de usuarios</w:t>
            </w:r>
          </w:p>
        </w:tc>
        <w:tc>
          <w:tcPr>
            <w:tcW w:type="dxa" w:w="3312"/>
          </w:tcPr>
          <w:p>
            <w:hyperlink r:id="rId22">
              <w:r>
                <w:rPr>
                  <w:color w:val="0563C1"/>
                  <w:u w:val="single"/>
                </w:rPr>
                <w:t>Descargar el archivo de acceso</w:t>
              </w:r>
            </w:hyperlink>
          </w:p>
        </w:tc>
        <w:tc>
          <w:tcPr>
            <w:tcW w:type="dxa" w:w="3312"/>
          </w:tcPr>
          <w:p>
            <w:r>
              <w:t>Descargar el archivo original .bat desde GitHub o recibirlo de TI; ejecutar normalmente</w:t>
            </w:r>
          </w:p>
        </w:tc>
      </w:tr>
    </w:tbl>
    <w:p>
      <w:pPr>
        <w:pStyle w:val="Heading2"/>
      </w:pPr>
      <w:r>
        <w:rPr>
          <w:color w:val="000000"/>
        </w:rPr>
        <w:t>Acceso según el perfil</w:t>
      </w:r>
    </w:p>
    <w:p>
      <w:pPr>
        <w:spacing w:after="100"/>
      </w:pPr>
      <w:r>
        <w:t>Administración: en el servidor abrir https://127.0.0.1:3000. Debe aparecer Usuario: Administrador local y la pestaña Usuarios junto a Subir Archivos y Resultados. El acceso local depende de la cuenta y sesión de Windows; la URL de la IP LAN no muestra administración aunque se abra en el servidor.</w:t>
      </w:r>
    </w:p>
    <w:p>
      <w:pPr>
        <w:spacing w:after="100"/>
      </w:pPr>
      <w:r>
        <w:t>Usuarios: cada persona debe ser creada por Administración con su correo y contraseña individual. Debe confirmar el correo y luego ingresar desde https://192.168.190.146:3000. No hay una cuenta ni contraseña compartida por defecto.</w:t>
      </w:r>
    </w:p>
    <w:p>
      <w:pPr>
        <w:spacing w:after="100"/>
      </w:pPr>
      <w:r>
        <w:t>Antes del acceso remoto, TI instala el certificado interno para la IP del servidor y los accesos locales. Cada usuario ejecuta CONFIGURAR-PRICEBOT-LAN.bat para verificar e instalar la confianza pública en su propia cuenta Windows. Instalar la CA no concede permisos dentro de PriceBot.</w:t>
      </w:r>
    </w:p>
    <w:p>
      <w:pPr>
        <w:spacing w:after="100"/>
      </w:pPr>
      <w:r>
        <w:t>Permitir los puertos 3000 y 8000 en el firewall de Windows solo para el perfil Privado y la subred autorizada; no publicarlos directamente en Internet. hardening.ps1 configura 192.168.190.0/24. El diagnóstico de API usa https://192.168.190.146:8000/health.</w:t>
      </w:r>
    </w:p>
    <w:p>
      <w:pPr>
        <w:pStyle w:val="Heading1"/>
        <w:pageBreakBefore w:val="0"/>
      </w:pPr>
      <w:r>
        <w:rPr>
          <w:color w:val="000000"/>
        </w:rPr>
        <w:t>Certificados y acceso en la red privada</w:t>
      </w:r>
    </w:p>
    <w:p>
      <w:pPr/>
      <w:r>
        <w:t>PriceBot se utiliza en la LAN privada 192.168.190.0/24 sin dominio. Una autoridad certificadora interna, o CA, emite el certificado para 192.168.190.146 y los accesos locales 127.0.0.1, localhost y ::1. Cada usuario Windows debe confiar en su raíz pública antes de ingresar. Esa confianza permite verificar HTTPS; los permisos de PriceBot dependen del correo y contraseña confirmados.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040"/>
        <w:gridCol w:w="3168"/>
      </w:tblGrid>
      <w:tr>
        <w:trPr>
          <w:cantSplit/>
          <w:tblHeader/>
        </w:trPr>
        <w:tc>
          <w:tcPr>
            <w:tcW w:type="dxa" w:w="2160"/>
            <w:vAlign w:val="center"/>
            <w:shd w:fill="193B51"/>
            <w:tcMar>
              <w:top w:w="90" w:type="dxa"/>
              <w:bottom w:w="90" w:type="dxa"/>
              <w:left w:w="110" w:type="dxa"/>
              <w:right w:w="110" w:type="dxa"/>
            </w:tcMar>
          </w:tcPr>
          <w:p>
            <w:pPr>
              <w:spacing w:after="0"/>
            </w:pPr>
            <w:r>
              <w:rPr>
                <w:b/>
                <w:color w:val="FFFFFF"/>
                <w:sz w:val="20"/>
              </w:rPr>
              <w:t>Rol</w:t>
            </w:r>
          </w:p>
        </w:tc>
        <w:tc>
          <w:tcPr>
            <w:tcW w:type="dxa" w:w="4032"/>
            <w:vAlign w:val="center"/>
            <w:shd w:fill="193B51"/>
            <w:tcMar>
              <w:top w:w="90" w:type="dxa"/>
              <w:bottom w:w="90" w:type="dxa"/>
              <w:left w:w="110" w:type="dxa"/>
              <w:right w:w="110" w:type="dxa"/>
            </w:tcMar>
          </w:tcPr>
          <w:p>
            <w:pPr>
              <w:spacing w:after="0"/>
            </w:pPr>
            <w:r>
              <w:rPr>
                <w:b/>
                <w:color w:val="FFFFFF"/>
                <w:sz w:val="20"/>
              </w:rPr>
              <w:t>Responsabilidad</w:t>
            </w:r>
          </w:p>
        </w:tc>
        <w:tc>
          <w:tcPr>
            <w:tcW w:type="dxa" w:w="3168"/>
            <w:vAlign w:val="center"/>
            <w:shd w:fill="193B51"/>
            <w:tcMar>
              <w:top w:w="90" w:type="dxa"/>
              <w:bottom w:w="90" w:type="dxa"/>
              <w:left w:w="110" w:type="dxa"/>
              <w:right w:w="110" w:type="dxa"/>
            </w:tcMar>
          </w:tcPr>
          <w:p>
            <w:pPr>
              <w:spacing w:after="0"/>
            </w:pPr>
            <w:r>
              <w:rPr>
                <w:b/>
                <w:color w:val="FFFFFF"/>
                <w:sz w:val="20"/>
              </w:rPr>
              <w:t>Permisos de Windows</w:t>
            </w:r>
          </w:p>
        </w:tc>
      </w:tr>
      <w:tr>
        <w:trPr>
          <w:cantSplit/>
        </w:trPr>
        <w:tc>
          <w:tcPr>
            <w:tcW w:type="dxa" w:w="2160"/>
            <w:vAlign w:val="center"/>
            <w:shd w:fill="FFFFFF"/>
            <w:tcMar>
              <w:top w:w="90" w:type="dxa"/>
              <w:bottom w:w="90" w:type="dxa"/>
              <w:left w:w="110" w:type="dxa"/>
              <w:right w:w="110" w:type="dxa"/>
            </w:tcMar>
          </w:tcPr>
          <w:p>
            <w:pPr>
              <w:spacing w:after="0"/>
            </w:pPr>
            <w:r>
              <w:rPr>
                <w:b w:val="0"/>
                <w:color w:val="000000"/>
                <w:sz w:val="20"/>
              </w:rPr>
              <w:t>TI del servidor</w:t>
            </w:r>
          </w:p>
        </w:tc>
        <w:tc>
          <w:tcPr>
            <w:tcW w:type="dxa" w:w="4032"/>
            <w:vAlign w:val="center"/>
            <w:shd w:fill="FFFFFF"/>
            <w:tcMar>
              <w:top w:w="90" w:type="dxa"/>
              <w:bottom w:w="90" w:type="dxa"/>
              <w:left w:w="110" w:type="dxa"/>
              <w:right w:w="110" w:type="dxa"/>
            </w:tcMar>
          </w:tcPr>
          <w:p>
            <w:pPr>
              <w:spacing w:after="0"/>
            </w:pPr>
            <w:r>
              <w:rPr>
                <w:b w:val="0"/>
                <w:color w:val="000000"/>
                <w:sz w:val="20"/>
              </w:rPr>
              <w:t>Instalar y renovar certificados; custodiar claves y frase de la CA; mantener IP y firewall.</w:t>
            </w:r>
          </w:p>
        </w:tc>
        <w:tc>
          <w:tcPr>
            <w:tcW w:type="dxa" w:w="3168"/>
            <w:vAlign w:val="center"/>
            <w:shd w:fill="FFFFFF"/>
            <w:tcMar>
              <w:top w:w="90" w:type="dxa"/>
              <w:bottom w:w="90" w:type="dxa"/>
              <w:left w:w="110" w:type="dxa"/>
              <w:right w:w="110" w:type="dxa"/>
            </w:tcMar>
          </w:tcPr>
          <w:p>
            <w:pPr>
              <w:spacing w:after="0"/>
            </w:pPr>
            <w:r>
              <w:rPr>
                <w:b w:val="0"/>
                <w:color w:val="000000"/>
                <w:sz w:val="20"/>
              </w:rPr>
              <w:t>Administrador para instalar o renovar el servidor.</w:t>
            </w:r>
          </w:p>
        </w:tc>
      </w:tr>
      <w:tr>
        <w:trPr>
          <w:cantSplit/>
        </w:trPr>
        <w:tc>
          <w:tcPr>
            <w:tcW w:type="dxa" w:w="2160"/>
            <w:vAlign w:val="center"/>
            <w:shd w:fill="EAF2F7"/>
            <w:tcMar>
              <w:top w:w="90" w:type="dxa"/>
              <w:bottom w:w="90" w:type="dxa"/>
              <w:left w:w="110" w:type="dxa"/>
              <w:right w:w="110" w:type="dxa"/>
            </w:tcMar>
          </w:tcPr>
          <w:p>
            <w:pPr>
              <w:spacing w:after="0"/>
            </w:pPr>
            <w:r>
              <w:rPr>
                <w:b w:val="0"/>
                <w:color w:val="000000"/>
                <w:sz w:val="20"/>
              </w:rPr>
              <w:t>Administración de PriceBot</w:t>
            </w:r>
          </w:p>
        </w:tc>
        <w:tc>
          <w:tcPr>
            <w:tcW w:type="dxa" w:w="4032"/>
            <w:vAlign w:val="center"/>
            <w:shd w:fill="EAF2F7"/>
            <w:tcMar>
              <w:top w:w="90" w:type="dxa"/>
              <w:bottom w:w="90" w:type="dxa"/>
              <w:left w:w="110" w:type="dxa"/>
              <w:right w:w="110" w:type="dxa"/>
            </w:tcMar>
          </w:tcPr>
          <w:p>
            <w:pPr>
              <w:spacing w:after="0"/>
            </w:pPr>
            <w:r>
              <w:rPr>
                <w:b w:val="0"/>
                <w:color w:val="000000"/>
                <w:sz w:val="20"/>
              </w:rPr>
              <w:t>Crear, modificar, deshabilitar y eliminar usuarios desde el servidor; entregar el acceso preparado por TI.</w:t>
            </w:r>
          </w:p>
        </w:tc>
        <w:tc>
          <w:tcPr>
            <w:tcW w:type="dxa" w:w="3168"/>
            <w:vAlign w:val="center"/>
            <w:shd w:fill="EAF2F7"/>
            <w:tcMar>
              <w:top w:w="90" w:type="dxa"/>
              <w:bottom w:w="90" w:type="dxa"/>
              <w:left w:w="110" w:type="dxa"/>
              <w:right w:w="110" w:type="dxa"/>
            </w:tcMar>
          </w:tcPr>
          <w:p>
            <w:pPr>
              <w:spacing w:after="0"/>
            </w:pPr>
            <w:r>
              <w:rPr>
                <w:b w:val="0"/>
                <w:color w:val="000000"/>
                <w:sz w:val="20"/>
              </w:rPr>
              <w:t>Sesión Windows autorizada en el servidor para el uso diario.</w:t>
            </w:r>
          </w:p>
        </w:tc>
      </w:tr>
      <w:tr>
        <w:trPr>
          <w:cantSplit/>
        </w:trPr>
        <w:tc>
          <w:tcPr>
            <w:tcW w:type="dxa" w:w="2160"/>
            <w:vAlign w:val="center"/>
            <w:shd w:fill="FFFFFF"/>
            <w:tcMar>
              <w:top w:w="90" w:type="dxa"/>
              <w:bottom w:w="90" w:type="dxa"/>
              <w:left w:w="110" w:type="dxa"/>
              <w:right w:w="110" w:type="dxa"/>
            </w:tcMar>
          </w:tcPr>
          <w:p>
            <w:pPr>
              <w:spacing w:after="0"/>
            </w:pPr>
            <w:r>
              <w:rPr>
                <w:b w:val="0"/>
                <w:color w:val="000000"/>
                <w:sz w:val="20"/>
              </w:rPr>
              <w:t>Usuario final</w:t>
            </w:r>
          </w:p>
        </w:tc>
        <w:tc>
          <w:tcPr>
            <w:tcW w:type="dxa" w:w="4032"/>
            <w:vAlign w:val="center"/>
            <w:shd w:fill="FFFFFF"/>
            <w:tcMar>
              <w:top w:w="90" w:type="dxa"/>
              <w:bottom w:w="90" w:type="dxa"/>
              <w:left w:w="110" w:type="dxa"/>
              <w:right w:w="110" w:type="dxa"/>
            </w:tcMar>
          </w:tcPr>
          <w:p>
            <w:pPr>
              <w:spacing w:after="0"/>
            </w:pPr>
            <w:r>
              <w:rPr>
                <w:b w:val="0"/>
                <w:color w:val="000000"/>
                <w:sz w:val="20"/>
              </w:rPr>
              <w:t>Ejecutar el acceso automático con su cuenta Windows e ingresar con correo y contraseña confirmados.</w:t>
            </w:r>
          </w:p>
        </w:tc>
        <w:tc>
          <w:tcPr>
            <w:tcW w:type="dxa" w:w="3168"/>
            <w:vAlign w:val="center"/>
            <w:shd w:fill="FFFFFF"/>
            <w:tcMar>
              <w:top w:w="90" w:type="dxa"/>
              <w:bottom w:w="90" w:type="dxa"/>
              <w:left w:w="110" w:type="dxa"/>
              <w:right w:w="110" w:type="dxa"/>
            </w:tcMar>
          </w:tcPr>
          <w:p>
            <w:pPr>
              <w:spacing w:after="0"/>
            </w:pPr>
            <w:r>
              <w:rPr>
                <w:b w:val="0"/>
                <w:color w:val="000000"/>
                <w:sz w:val="20"/>
              </w:rPr>
              <w:t>No necesita administrador para instalar en su propio usuario.</w:t>
            </w:r>
          </w:p>
        </w:tc>
      </w:tr>
    </w:tbl>
    <w:p>
      <w:pPr>
        <w:spacing w:after="0"/>
      </w:pPr>
    </w:p>
    <w:p>
      <w:pPr>
        <w:pStyle w:val="Heading2"/>
      </w:pPr>
      <w:r>
        <w:rPr>
          <w:color w:val="000000"/>
        </w:rPr>
        <w:t>Instalación del servidor a cargo de TI</w:t>
      </w:r>
    </w:p>
    <w:p>
      <w:pPr/>
      <w:r>
        <w:t>1. En el servidor, actualizar con git pull en C:\Users\Soporte\Documents\AnalizadorPlanillas. Instalar las dependencias con instalar.bat si faltan. Cerrar las ventanas de PriceBot antes de instalar o renovar certificados.</w:t>
      </w:r>
    </w:p>
    <w:p>
      <w:pPr/>
      <w:r>
        <w:t>2. Confirmar la IP 192.168.190.146, reservarla en DHCP o con TI y mantener la interfaz de red en perfil Privado. Ejecutar TLS_LAN\INSTALAR-SERVIDOR.bat con clic derecho y Ejecutar como administrador.</w:t>
      </w:r>
    </w:p>
    <w:p>
      <w:pPr/>
      <w:r>
        <w:t>3. Ingresar la ruta del repo y la cuenta Windows que inicia PriceBot, por ejemplo SERVERA\Soporte. Elegir una frase de al menos 16 caracteres para cifrar la clave de la CA y guardarla en el gestor de secretos corporativo. No documentar su valor ni distribuirla a usuarios.</w:t>
      </w:r>
    </w:p>
    <w:p>
      <w:pPr/>
      <w:r>
        <w:t>4. Esperar INSTALACION TERMINADA. El instalador genera certificados, instala la confianza del servidor, guarda launch-config.json y restringe las reglas de firewall de PriceBot a la subred privada. Confianza instalada es un mensaje intermedio y no sustituye al de instalación terminada.</w:t>
      </w:r>
    </w:p>
    <w:p>
      <w:pPr/>
      <w:r>
        <w:t>5. Iniciar normalmente con C:\ProgramData\PriceBotTLS\INICIAR-PRICEBOT-SEGURO.bat. Este lanzador carga la configuración guardada; no es necesario repetir la instalación en cada arranque. Mantener encendida la PC y abiertas las ventanas del backend y frontend.</w:t>
      </w:r>
    </w:p>
    <w:p>
      <w:pPr/>
      <w:r>
        <w:t>6. Verificar https://127.0.0.1:3000 para Administración y https://192.168.190.146:8000/health para diagnóstico de la API. Ambas conexiones deben ser confiables y la API debe responder status ok.</w:t>
      </w:r>
    </w:p>
    <w:p>
      <w:pPr>
        <w:pStyle w:val="Heading2"/>
      </w:pPr>
      <w:r>
        <w:rPr>
          <w:color w:val="000000"/>
        </w:rPr>
        <w:t>Preparar el acceso para los usuarios</w:t>
      </w:r>
    </w:p>
    <w:p>
      <w:pPr/>
      <w:r>
        <w:t>1. Si el servidor ya tiene certificados válidos, actualizar el repo y ejecutar TLS_LAN\PREPARAR-CLIENTES.bat desde la cuenta autorizada. Solo necesita leer la configuración pública instalada y escribir en el repo. No lee claves privadas, no renueva certificados y no requiere cerrar PriceBot.</w:t>
      </w:r>
    </w:p>
    <w:p>
      <w:pPr/>
      <w:r>
        <w:t>2. Entregar a cada persona el archivo del repo dist\CONFIGURAR-PRICEBOT-LAN.bat, o el ZIP dist\Clientes-PriceBot-SinAdmin.zip. Una instalación nueva también genera el archivo dentro de C:\ProgramData\PriceBotTLS\Clientes y lo incluye en Clientes-PriceBot.zip.</w:t>
      </w:r>
    </w:p>
    <w:p>
      <w:pPr/>
      <w:r>
        <w:t>3. Distribuirlo desde TI o por el repositorio corporativo verificado. El archivo independiente incorpora únicamente el certificado público y su huella SHA-256 verificada; no contiene claves privadas, contraseñas de usuarios ni la frase de la CA.</w:t>
      </w:r>
    </w:p>
    <w:p>
      <w:pPr/>
      <w:r>
        <w:t>4. Si cambia la CA o la IP del servidor, generar y distribuir un archivo nuevo. El script publicado en Documentacion\CONFIGURAR-PRICEBOT-LAN.bat corresponde a la CA y la IP de referencia de esta edición.</w:t>
      </w:r>
    </w:p>
    <w:p>
      <w:pPr>
        <w:pStyle w:val="Heading2"/>
      </w:pPr>
      <w:r>
        <w:rPr>
          <w:color w:val="000000"/>
        </w:rPr>
        <w:t>Pasos de cada usuario en su computadora</w:t>
      </w:r>
    </w:p>
    <w:p>
      <w:pPr/>
      <w:r>
        <w:t>1. Recibir CONFIGURAR-PRICEBOT-LAN.bat del responsable y guardarlo en su PC. También puede extraer el ZIP cliente completo. El archivo .bat independiente funciona sin copiar otros archivos.</w:t>
      </w:r>
    </w:p>
    <w:p>
      <w:pPr/>
      <w:r>
        <w:t>2. Hacer doble clic con el usuario Windows que utilizará el sistema. No elegir Ejecutar como otro usuario. El script verifica automáticamente la CA y su huella, instala confianza solo para esa sesión de usuario, comprueba sitio y API por HTTPS válido y abre PriceBot. No pide pegar la huella ni contraseña de administrador.</w:t>
      </w:r>
    </w:p>
    <w:p>
      <w:pPr/>
      <w:r>
        <w:t>3. Esperar ACCESO CONFIGURADO. Windows puede mostrar un aviso de ejecución o confianza según la política corporativa. Si la política bloquea instalar raíces, solicitar la distribución a TI; el script no cambia automáticamente al almacén de toda la PC.</w:t>
      </w:r>
    </w:p>
    <w:p>
      <w:pPr/>
      <w:r>
        <w:t>4. Abrir https://192.168.190.146:3000 e ingresar con el correo y contraseña asignados por Administración. Confirmar primero el correo mediante el enlace recibido desde una PC configurada y dentro de la LAN. La frase de la CA no se utiliza para iniciar sesión.</w:t>
      </w:r>
    </w:p>
    <w:p>
      <w:pPr/>
      <w:r>
        <w:t>5. Si el navegador conserva ERR_CERT_AUTHORITY_INVALID, cerrarlo completamente y abrirlo de nuevo. Si se usa el navegador integrado de Codex, reiniciar Codex cuando conserve la alerta. Cada usuario Windows de una misma PC debe instalar su propia confianza, salvo que TI instale para toda la PC.</w:t>
      </w:r>
    </w:p>
    <w:p>
      <w:pPr/>
      <w:r>
        <w:t>Alternativa manual: INSTALAR-SOLO-USUARIO.bat comprueba la huella pegada por el usuario y usa CurrentUser. INSTALAR-CLIENTE.bat requiere administrador Windows y usa LocalMachine para toda la PC. Ambas opciones mantienen la validación de certificados.</w:t>
      </w:r>
    </w:p>
    <w:p>
      <w:pPr>
        <w:pStyle w:val="Heading2"/>
      </w:pPr>
      <w:r>
        <w:rPr>
          <w:color w:val="000000"/>
        </w:rPr>
        <w:t>Renovación y custodia de certificados</w:t>
      </w:r>
    </w:p>
    <w:p>
      <w:pPr/>
      <w:r>
        <w:t>El certificado del servidor dura un año y la CA cinco años. TI debe revisar las fechas vigentes en C:\ProgramData\PriceBotTLS\certificates.json y renovar 30 días antes del vencimiento del servidor: cerrar PriceBot y ejecutar nuevamente el instalador con la misma frase de la CA. El kit no programa renovación automática ni un servicio de revocación CRL/OCSP.</w:t>
      </w:r>
    </w:p>
    <w:p>
      <w:pPr/>
      <w:r>
        <w:t>La renovación conserva la CA y reemplaza el certificado y clave del servidor. Si no cambia la CA, los usuarios no necesitan instalar de nuevo la raíz. Planificar con TI la sustitución de la CA antes de que su vigencia restante impida emitir un certificado anual.</w:t>
      </w:r>
    </w:p>
    <w:p>
      <w:pPr/>
      <w:r>
        <w:t>Custodiar ca\ca-key-encrypted.pem, server-key.pem, la frase de la CA y los respaldos cifrados en el servidor o gestor corporativo. Solo distribuir el archivo de acceso automático o el ZIP cliente público. HTTPS protege el tránsito; discos, descargas y respaldos necesitan cifrado y permisos propios.</w:t>
      </w:r>
    </w:p>
    <w:p>
      <w:pPr/>
      <w:r>
        <w:t>Huella SHA-256 pública de referencia de esta edición:</w:t>
      </w:r>
    </w:p>
    <w:p>
      <w:pPr/>
      <w:r>
        <w:rPr>
          <w:rFonts w:ascii="Consolas" w:hAnsi="Consolas"/>
          <w:sz w:val="18"/>
        </w:rPr>
        <w:t>E9A752ABC8A20E7E347ADE114A5BFCB3BD585AAD5EED4D2ED984C3BF27997DF3</w:t>
      </w:r>
    </w:p>
    <w:p>
      <w:pPr>
        <w:pStyle w:val="Heading1"/>
      </w:pPr>
      <w:r>
        <w:rPr>
          <w:color w:val="000000"/>
        </w:rPr>
        <w:t>Inventario de cuentas y responsables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val="true"/>
          <w:cantSplit/>
        </w:trPr>
        <w:tc>
          <w:tcPr>
            <w:tcW w:type="dxa" w:w="1944"/>
            <w:shd w:fill="183B56"/>
            <w:tcMar>
              <w:top w:w="110" w:type="dxa"/>
              <w:start w:w="110" w:type="dxa"/>
              <w:bottom w:w="110" w:type="dxa"/>
              <w:end w:w="110" w:type="dxa"/>
            </w:tcMar>
            <w:vAlign w:val="center"/>
          </w:tcPr>
          <w:p>
            <w:pPr>
              <w:jc w:val="center"/>
            </w:pPr>
            <w:r>
              <w:rPr>
                <w:b/>
                <w:color w:val="FFFFFF"/>
                <w:sz w:val="19"/>
              </w:rPr>
              <w:t>Cuenta o rol</w:t>
            </w:r>
          </w:p>
        </w:tc>
        <w:tc>
          <w:tcPr>
            <w:tcW w:type="dxa" w:w="2592"/>
            <w:shd w:fill="183B56"/>
            <w:tcMar>
              <w:top w:w="110" w:type="dxa"/>
              <w:start w:w="110" w:type="dxa"/>
              <w:bottom w:w="110" w:type="dxa"/>
              <w:end w:w="110" w:type="dxa"/>
            </w:tcMar>
            <w:vAlign w:val="center"/>
          </w:tcPr>
          <w:p>
            <w:pPr>
              <w:jc w:val="center"/>
            </w:pPr>
            <w:r>
              <w:rPr>
                <w:b/>
                <w:color w:val="FFFFFF"/>
                <w:sz w:val="19"/>
              </w:rPr>
              <w:t>Identificador</w:t>
            </w:r>
          </w:p>
        </w:tc>
        <w:tc>
          <w:tcPr>
            <w:tcW w:type="dxa" w:w="3672"/>
            <w:shd w:fill="183B56"/>
            <w:tcMar>
              <w:top w:w="110" w:type="dxa"/>
              <w:start w:w="110" w:type="dxa"/>
              <w:bottom w:w="110" w:type="dxa"/>
              <w:end w:w="110" w:type="dxa"/>
            </w:tcMar>
            <w:vAlign w:val="center"/>
          </w:tcPr>
          <w:p>
            <w:pPr>
              <w:jc w:val="center"/>
            </w:pPr>
            <w:r>
              <w:rPr>
                <w:b/>
                <w:color w:val="FFFFFF"/>
                <w:sz w:val="19"/>
              </w:rPr>
              <w:t>Responsabilidad</w:t>
            </w:r>
          </w:p>
        </w:tc>
        <w:tc>
          <w:tcPr>
            <w:tcW w:type="dxa" w:w="1440"/>
            <w:shd w:fill="183B56"/>
            <w:tcMar>
              <w:top w:w="110" w:type="dxa"/>
              <w:start w:w="110" w:type="dxa"/>
              <w:bottom w:w="110" w:type="dxa"/>
              <w:end w:w="110" w:type="dxa"/>
            </w:tcMar>
            <w:vAlign w:val="center"/>
          </w:tcPr>
          <w:p>
            <w:pPr>
              <w:jc w:val="center"/>
            </w:pPr>
            <w:r>
              <w:rPr>
                <w:b/>
                <w:color w:val="FFFFFF"/>
                <w:sz w:val="19"/>
              </w:rPr>
              <w:t>Secreto documentado</w:t>
            </w:r>
          </w:p>
        </w:tc>
      </w:tr>
      <w:tr>
        <w:trPr>
          <w:cantSplit/>
        </w:trPr>
        <w:tc>
          <w:tcPr>
            <w:tcW w:type="dxa" w:w="1944"/>
            <w:tcMar>
              <w:top w:w="110" w:type="dxa"/>
              <w:start w:w="110" w:type="dxa"/>
              <w:bottom w:w="110" w:type="dxa"/>
              <w:end w:w="110" w:type="dxa"/>
            </w:tcMar>
            <w:vAlign w:val="center"/>
          </w:tcPr>
          <w:p>
            <w:pPr>
              <w:spacing w:after="0"/>
            </w:pPr>
            <w:r>
              <w:rPr>
                <w:sz w:val="19"/>
              </w:rPr>
              <w:t>Administrador local de PriceBot</w:t>
            </w:r>
          </w:p>
        </w:tc>
        <w:tc>
          <w:tcPr>
            <w:tcW w:type="dxa" w:w="2592"/>
            <w:tcMar>
              <w:top w:w="110" w:type="dxa"/>
              <w:start w:w="110" w:type="dxa"/>
              <w:bottom w:w="110" w:type="dxa"/>
              <w:end w:w="110" w:type="dxa"/>
            </w:tcMar>
            <w:vAlign w:val="center"/>
          </w:tcPr>
          <w:p>
            <w:pPr>
              <w:spacing w:after="0"/>
            </w:pPr>
            <w:r>
              <w:rPr>
                <w:sz w:val="19"/>
              </w:rPr>
              <w:t>Administrador local</w:t>
            </w:r>
          </w:p>
        </w:tc>
        <w:tc>
          <w:tcPr>
            <w:tcW w:type="dxa" w:w="3672"/>
            <w:tcMar>
              <w:top w:w="110" w:type="dxa"/>
              <w:start w:w="110" w:type="dxa"/>
              <w:bottom w:w="110" w:type="dxa"/>
              <w:end w:w="110" w:type="dxa"/>
            </w:tcMar>
            <w:vAlign w:val="center"/>
          </w:tcPr>
          <w:p>
            <w:pPr>
              <w:spacing w:after="0"/>
            </w:pPr>
            <w:r>
              <w:rPr>
                <w:sz w:val="19"/>
              </w:rPr>
              <w:t>Opera usuarios desde localhost en el servidor</w:t>
            </w:r>
          </w:p>
        </w:tc>
        <w:tc>
          <w:tcPr>
            <w:tcW w:type="dxa" w:w="1440"/>
            <w:tcMar>
              <w:top w:w="110" w:type="dxa"/>
              <w:start w:w="110" w:type="dxa"/>
              <w:bottom w:w="110" w:type="dxa"/>
              <w:end w:w="110" w:type="dxa"/>
            </w:tcMar>
            <w:vAlign w:val="center"/>
          </w:tcPr>
          <w:p>
            <w:pPr>
              <w:spacing w:after="0"/>
            </w:pPr>
            <w:r>
              <w:rPr>
                <w:sz w:val="19"/>
              </w:rPr>
              <w:t>No aplica</w:t>
            </w:r>
          </w:p>
        </w:tc>
      </w:tr>
      <w:tr>
        <w:trPr>
          <w:cantSplit/>
        </w:trPr>
        <w:tc>
          <w:tcPr>
            <w:tcW w:type="dxa" w:w="1944"/>
            <w:tcMar>
              <w:top w:w="110" w:type="dxa"/>
              <w:start w:w="110" w:type="dxa"/>
              <w:bottom w:w="110" w:type="dxa"/>
              <w:end w:w="110" w:type="dxa"/>
            </w:tcMar>
            <w:vAlign w:val="center"/>
            <w:shd w:fill="EAF3F8"/>
          </w:tcPr>
          <w:p>
            <w:pPr>
              <w:spacing w:after="0"/>
            </w:pPr>
            <w:r>
              <w:rPr>
                <w:sz w:val="19"/>
              </w:rPr>
              <w:t>Cuenta Windows del servidor</w:t>
            </w:r>
          </w:p>
        </w:tc>
        <w:tc>
          <w:tcPr>
            <w:tcW w:type="dxa" w:w="2592"/>
            <w:tcMar>
              <w:top w:w="110" w:type="dxa"/>
              <w:start w:w="110" w:type="dxa"/>
              <w:bottom w:w="110" w:type="dxa"/>
              <w:end w:w="110" w:type="dxa"/>
            </w:tcMar>
            <w:vAlign w:val="center"/>
            <w:shd w:fill="EAF3F8"/>
          </w:tcPr>
          <w:p>
            <w:pPr>
              <w:spacing w:after="0"/>
            </w:pPr>
            <w:r>
              <w:rPr>
                <w:sz w:val="19"/>
              </w:rPr>
              <w:t>Soporte</w:t>
            </w:r>
          </w:p>
        </w:tc>
        <w:tc>
          <w:tcPr>
            <w:tcW w:type="dxa" w:w="3672"/>
            <w:tcMar>
              <w:top w:w="110" w:type="dxa"/>
              <w:start w:w="110" w:type="dxa"/>
              <w:bottom w:w="110" w:type="dxa"/>
              <w:end w:w="110" w:type="dxa"/>
            </w:tcMar>
            <w:vAlign w:val="center"/>
            <w:shd w:fill="EAF3F8"/>
          </w:tcPr>
          <w:p>
            <w:pPr>
              <w:spacing w:after="0"/>
            </w:pPr>
            <w:r>
              <w:rPr>
                <w:sz w:val="19"/>
              </w:rPr>
              <w:t>Iniciar, actualizar y respaldar la aplicación</w:t>
            </w:r>
          </w:p>
        </w:tc>
        <w:tc>
          <w:tcPr>
            <w:tcW w:type="dxa" w:w="1440"/>
            <w:tcMar>
              <w:top w:w="110" w:type="dxa"/>
              <w:start w:w="110" w:type="dxa"/>
              <w:bottom w:w="110" w:type="dxa"/>
              <w:end w:w="110" w:type="dxa"/>
            </w:tcMar>
            <w:vAlign w:val="center"/>
            <w:shd w:fill="EAF3F8"/>
          </w:tcPr>
          <w:p>
            <w:pPr>
              <w:spacing w:after="0"/>
            </w:pPr>
            <w:r>
              <w:rPr>
                <w:sz w:val="19"/>
              </w:rPr>
              <w:t>No</w:t>
            </w:r>
          </w:p>
        </w:tc>
      </w:tr>
      <w:tr>
        <w:trPr>
          <w:cantSplit/>
        </w:trPr>
        <w:tc>
          <w:tcPr>
            <w:tcW w:type="dxa" w:w="1944"/>
            <w:tcMar>
              <w:top w:w="110" w:type="dxa"/>
              <w:start w:w="110" w:type="dxa"/>
              <w:bottom w:w="110" w:type="dxa"/>
              <w:end w:w="110" w:type="dxa"/>
            </w:tcMar>
            <w:vAlign w:val="center"/>
          </w:tcPr>
          <w:p>
            <w:pPr>
              <w:spacing w:after="0"/>
            </w:pPr>
            <w:r>
              <w:rPr>
                <w:sz w:val="19"/>
              </w:rPr>
              <w:t>Correo emisor SMTP</w:t>
            </w:r>
          </w:p>
        </w:tc>
        <w:tc>
          <w:tcPr>
            <w:tcW w:type="dxa" w:w="2592"/>
            <w:tcMar>
              <w:top w:w="110" w:type="dxa"/>
              <w:start w:w="110" w:type="dxa"/>
              <w:bottom w:w="110" w:type="dxa"/>
              <w:end w:w="110" w:type="dxa"/>
            </w:tcMar>
            <w:vAlign w:val="center"/>
          </w:tcPr>
          <w:p>
            <w:pPr>
              <w:spacing w:after="0"/>
            </w:pPr>
            <w:r>
              <w:rPr>
                <w:sz w:val="19"/>
              </w:rPr>
              <w:t>herni.wazi@gmail.com</w:t>
            </w:r>
          </w:p>
        </w:tc>
        <w:tc>
          <w:tcPr>
            <w:tcW w:type="dxa" w:w="3672"/>
            <w:tcMar>
              <w:top w:w="110" w:type="dxa"/>
              <w:start w:w="110" w:type="dxa"/>
              <w:bottom w:w="110" w:type="dxa"/>
              <w:end w:w="110" w:type="dxa"/>
            </w:tcMar>
            <w:vAlign w:val="center"/>
          </w:tcPr>
          <w:p>
            <w:pPr>
              <w:spacing w:after="0"/>
            </w:pPr>
            <w:r>
              <w:rPr>
                <w:sz w:val="19"/>
              </w:rPr>
              <w:t>Enviar confirmaciones de acceso</w:t>
            </w:r>
          </w:p>
        </w:tc>
        <w:tc>
          <w:tcPr>
            <w:tcW w:type="dxa" w:w="1440"/>
            <w:tcMar>
              <w:top w:w="110" w:type="dxa"/>
              <w:start w:w="110" w:type="dxa"/>
              <w:bottom w:w="110" w:type="dxa"/>
              <w:end w:w="110" w:type="dxa"/>
            </w:tcMar>
            <w:vAlign w:val="center"/>
          </w:tcPr>
          <w:p>
            <w:pPr>
              <w:spacing w:after="0"/>
            </w:pPr>
            <w:r>
              <w:rPr>
                <w:sz w:val="19"/>
              </w:rPr>
              <w:t>No; usar contraseña de aplicación</w:t>
            </w:r>
          </w:p>
        </w:tc>
      </w:tr>
      <w:tr>
        <w:trPr>
          <w:cantSplit/>
        </w:trPr>
        <w:tc>
          <w:tcPr>
            <w:tcW w:type="dxa" w:w="1944"/>
            <w:tcMar>
              <w:top w:w="110" w:type="dxa"/>
              <w:start w:w="110" w:type="dxa"/>
              <w:bottom w:w="110" w:type="dxa"/>
              <w:end w:w="110" w:type="dxa"/>
            </w:tcMar>
            <w:vAlign w:val="center"/>
            <w:shd w:fill="EAF3F8"/>
          </w:tcPr>
          <w:p>
            <w:pPr>
              <w:spacing w:after="0"/>
            </w:pPr>
            <w:r>
              <w:rPr>
                <w:sz w:val="19"/>
              </w:rPr>
              <w:t>Usuarios finales</w:t>
            </w:r>
          </w:p>
        </w:tc>
        <w:tc>
          <w:tcPr>
            <w:tcW w:type="dxa" w:w="2592"/>
            <w:tcMar>
              <w:top w:w="110" w:type="dxa"/>
              <w:start w:w="110" w:type="dxa"/>
              <w:bottom w:w="110" w:type="dxa"/>
              <w:end w:w="110" w:type="dxa"/>
            </w:tcMar>
            <w:vAlign w:val="center"/>
            <w:shd w:fill="EAF3F8"/>
          </w:tcPr>
          <w:p>
            <w:pPr>
              <w:spacing w:after="0"/>
            </w:pPr>
            <w:r>
              <w:rPr>
                <w:sz w:val="19"/>
              </w:rPr>
              <w:t>Correos visibles en la pestaña Usuarios</w:t>
            </w:r>
          </w:p>
        </w:tc>
        <w:tc>
          <w:tcPr>
            <w:tcW w:type="dxa" w:w="3672"/>
            <w:tcMar>
              <w:top w:w="110" w:type="dxa"/>
              <w:start w:w="110" w:type="dxa"/>
              <w:bottom w:w="110" w:type="dxa"/>
              <w:end w:w="110" w:type="dxa"/>
            </w:tcMar>
            <w:vAlign w:val="center"/>
            <w:shd w:fill="EAF3F8"/>
          </w:tcPr>
          <w:p>
            <w:pPr>
              <w:spacing w:after="0"/>
            </w:pPr>
            <w:r>
              <w:rPr>
                <w:sz w:val="19"/>
              </w:rPr>
              <w:t>Ingresar desde otras PCs</w:t>
            </w:r>
          </w:p>
        </w:tc>
        <w:tc>
          <w:tcPr>
            <w:tcW w:type="dxa" w:w="1440"/>
            <w:tcMar>
              <w:top w:w="110" w:type="dxa"/>
              <w:start w:w="110" w:type="dxa"/>
              <w:bottom w:w="110" w:type="dxa"/>
              <w:end w:w="110" w:type="dxa"/>
            </w:tcMar>
            <w:vAlign w:val="center"/>
            <w:shd w:fill="EAF3F8"/>
          </w:tcPr>
          <w:p>
            <w:pPr>
              <w:spacing w:after="0"/>
            </w:pPr>
            <w:r>
              <w:rPr>
                <w:sz w:val="19"/>
              </w:rPr>
              <w:t>No; las contraseñas no son recuperables</w:t>
            </w:r>
          </w:p>
        </w:tc>
      </w:tr>
      <w:tr>
        <w:trPr>
          <w:cantSplit/>
        </w:trPr>
        <w:tc>
          <w:tcPr>
            <w:tcW w:type="dxa" w:w="1944"/>
            <w:tcMar>
              <w:top w:w="110" w:type="dxa"/>
              <w:start w:w="110" w:type="dxa"/>
              <w:bottom w:w="110" w:type="dxa"/>
              <w:end w:w="110" w:type="dxa"/>
            </w:tcMar>
            <w:vAlign w:val="center"/>
          </w:tcPr>
          <w:p>
            <w:pPr>
              <w:spacing w:after="0"/>
            </w:pPr>
            <w:r>
              <w:rPr>
                <w:sz w:val="19"/>
              </w:rPr>
              <w:t>Claude Platform</w:t>
            </w:r>
          </w:p>
        </w:tc>
        <w:tc>
          <w:tcPr>
            <w:tcW w:type="dxa" w:w="2592"/>
            <w:tcMar>
              <w:top w:w="110" w:type="dxa"/>
              <w:start w:w="110" w:type="dxa"/>
              <w:bottom w:w="110" w:type="dxa"/>
              <w:end w:w="110" w:type="dxa"/>
            </w:tcMar>
            <w:vAlign w:val="center"/>
          </w:tcPr>
          <w:p>
            <w:pPr>
              <w:spacing w:after="0"/>
            </w:pPr>
            <w:r>
              <w:rPr>
                <w:sz w:val="19"/>
              </w:rPr>
              <w:t>Titular a registrar por Administración</w:t>
            </w:r>
          </w:p>
        </w:tc>
        <w:tc>
          <w:tcPr>
            <w:tcW w:type="dxa" w:w="3672"/>
            <w:tcMar>
              <w:top w:w="110" w:type="dxa"/>
              <w:start w:w="110" w:type="dxa"/>
              <w:bottom w:w="110" w:type="dxa"/>
              <w:end w:w="110" w:type="dxa"/>
            </w:tcMar>
            <w:vAlign w:val="center"/>
          </w:tcPr>
          <w:p>
            <w:pPr>
              <w:spacing w:after="0"/>
            </w:pPr>
            <w:r>
              <w:rPr>
                <w:sz w:val="19"/>
              </w:rPr>
              <w:t>Claves API, créditos, facturación y uso</w:t>
            </w:r>
          </w:p>
        </w:tc>
        <w:tc>
          <w:tcPr>
            <w:tcW w:type="dxa" w:w="1440"/>
            <w:tcMar>
              <w:top w:w="110" w:type="dxa"/>
              <w:start w:w="110" w:type="dxa"/>
              <w:bottom w:w="110" w:type="dxa"/>
              <w:end w:w="110" w:type="dxa"/>
            </w:tcMar>
            <w:vAlign w:val="center"/>
          </w:tcPr>
          <w:p>
            <w:pPr>
              <w:spacing w:after="0"/>
            </w:pPr>
            <w:r>
              <w:rPr>
                <w:sz w:val="19"/>
              </w:rPr>
              <w:t>No</w:t>
            </w:r>
          </w:p>
        </w:tc>
      </w:tr>
      <w:tr>
        <w:trPr>
          <w:cantSplit/>
        </w:trPr>
        <w:tc>
          <w:tcPr>
            <w:tcW w:type="dxa" w:w="1944"/>
            <w:tcMar>
              <w:top w:w="110" w:type="dxa"/>
              <w:start w:w="110" w:type="dxa"/>
              <w:bottom w:w="110" w:type="dxa"/>
              <w:end w:w="110" w:type="dxa"/>
            </w:tcMar>
            <w:vAlign w:val="center"/>
            <w:shd w:fill="EAF3F8"/>
          </w:tcPr>
          <w:p>
            <w:pPr>
              <w:spacing w:after="0"/>
            </w:pPr>
            <w:r>
              <w:rPr>
                <w:sz w:val="19"/>
              </w:rPr>
              <w:t>GitHub</w:t>
            </w:r>
          </w:p>
        </w:tc>
        <w:tc>
          <w:tcPr>
            <w:tcW w:type="dxa" w:w="2592"/>
            <w:tcMar>
              <w:top w:w="110" w:type="dxa"/>
              <w:start w:w="110" w:type="dxa"/>
              <w:bottom w:w="110" w:type="dxa"/>
              <w:end w:w="110" w:type="dxa"/>
            </w:tcMar>
            <w:vAlign w:val="center"/>
            <w:shd w:fill="EAF3F8"/>
          </w:tcPr>
          <w:p>
            <w:pPr>
              <w:spacing w:after="0"/>
            </w:pPr>
            <w:r>
              <w:rPr>
                <w:sz w:val="19"/>
              </w:rPr>
              <w:t>Repositorio GaryPoui AnalizadorPlanillas</w:t>
            </w:r>
          </w:p>
        </w:tc>
        <w:tc>
          <w:tcPr>
            <w:tcW w:type="dxa" w:w="3672"/>
            <w:tcMar>
              <w:top w:w="110" w:type="dxa"/>
              <w:start w:w="110" w:type="dxa"/>
              <w:bottom w:w="110" w:type="dxa"/>
              <w:end w:w="110" w:type="dxa"/>
            </w:tcMar>
            <w:vAlign w:val="center"/>
            <w:shd w:fill="EAF3F8"/>
          </w:tcPr>
          <w:p>
            <w:pPr>
              <w:spacing w:after="0"/>
            </w:pPr>
            <w:r>
              <w:rPr>
                <w:sz w:val="19"/>
              </w:rPr>
              <w:t>Actualizar el código y conservar historial</w:t>
            </w:r>
          </w:p>
        </w:tc>
        <w:tc>
          <w:tcPr>
            <w:tcW w:type="dxa" w:w="1440"/>
            <w:tcMar>
              <w:top w:w="110" w:type="dxa"/>
              <w:start w:w="110" w:type="dxa"/>
              <w:bottom w:w="110" w:type="dxa"/>
              <w:end w:w="110" w:type="dxa"/>
            </w:tcMar>
            <w:vAlign w:val="center"/>
            <w:shd w:fill="EAF3F8"/>
          </w:tcPr>
          <w:p>
            <w:pPr>
              <w:spacing w:after="0"/>
            </w:pPr>
            <w:r>
              <w:rPr>
                <w:sz w:val="19"/>
              </w:rPr>
              <w:t>No</w:t>
            </w:r>
          </w:p>
        </w:tc>
      </w:tr>
    </w:tbl>
    <w:p>
      <w:pPr>
        <w:spacing w:after="40"/>
      </w:pPr>
    </w:p>
    <w:p>
      <w:r>
        <w:t>Administración debe completar fuera de este documento el titular, correo de recuperación y doble factor de Claude Platform y GitHub. Las claves deben guardarse en el gestor de secretos corporativo o directamente en pricebot\.env con permisos restringidos.</w:t>
      </w:r>
    </w:p>
    <w:p>
      <w:pPr>
        <w:pStyle w:val="Heading1"/>
      </w:pPr>
      <w:r>
        <w:rPr>
          <w:color w:val="000000"/>
        </w:rPr>
        <w:t>Inicio y detención del servidor</w:t>
      </w:r>
    </w:p>
    <w:p>
      <w:pPr>
        <w:spacing w:after="60"/>
        <w:ind w:left="403" w:hanging="403"/>
      </w:pPr>
      <w:r>
        <w:t>1. Iniciar sesión en Windows en la computadora servidor.</w:t>
      </w:r>
    </w:p>
    <w:p>
      <w:pPr>
        <w:spacing w:after="60"/>
        <w:ind w:left="403" w:hanging="403"/>
      </w:pPr>
      <w:r>
        <w:t>2. Abrir C:\Users\Soporte\Documents\AnalizadorPlanillas.</w:t>
      </w:r>
    </w:p>
    <w:p>
      <w:pPr>
        <w:spacing w:after="60"/>
        <w:ind w:left="403" w:hanging="403"/>
      </w:pPr>
      <w:r>
        <w:t>3. Hacer doble clic en C:\ProgramData\PriceBotTLS\INICIAR-PRICEBOT-SEGURO.bat. Mantener abiertas las ventanas del backend y frontend.</w:t>
      </w:r>
    </w:p>
    <w:p>
      <w:pPr>
        <w:spacing w:after="60"/>
        <w:ind w:left="403" w:hanging="403"/>
      </w:pPr>
      <w:r>
        <w:t>4. Abrir https://127.0.0.1:3000 para Administración local y https://192.168.190.146:3000 desde una PC configurada y autorizada.</w:t>
      </w:r>
    </w:p>
    <w:p>
      <w:pPr>
        <w:spacing w:after="60"/>
        <w:ind w:left="403" w:hanging="403"/>
      </w:pPr>
      <w:r>
        <w:t>5. Verificar que /health responda status ok antes de habilitar el uso.</w:t>
      </w:r>
    </w:p>
    <w:p>
      <w:r>
        <w:t>Para detener el servicio, cerrar las ventanas iniciadas por PriceBot. No apagar la PC mientras haya extracciones activas. Después de un reinicio de Windows, ejecutar nuevamente el lanzador.</w:t>
      </w:r>
    </w:p>
    <w:p>
      <w:pPr>
        <w:pStyle w:val="Heading1"/>
      </w:pPr>
      <w:r>
        <w:rPr>
          <w:color w:val="000000"/>
        </w:rPr>
        <w:t>Uso diario</w:t>
      </w:r>
    </w:p>
    <w:p>
      <w:pPr>
        <w:spacing w:after="60"/>
        <w:ind w:left="403" w:hanging="403"/>
      </w:pPr>
      <w:r>
        <w:t>1. Ingresar a la URL correspondiente. Los usuarios remotos deben usar correo y contraseña.</w:t>
      </w:r>
    </w:p>
    <w:p>
      <w:pPr>
        <w:spacing w:after="60"/>
        <w:ind w:left="403" w:hanging="403"/>
      </w:pPr>
      <w:r>
        <w:t>2. Seleccionar o arrastrar uno o más archivos admitidos.</w:t>
      </w:r>
    </w:p>
    <w:p>
      <w:pPr>
        <w:spacing w:after="60"/>
        <w:ind w:left="403" w:hanging="403"/>
      </w:pPr>
      <w:r>
        <w:t>3. Indicar CUIT cuando corresponda y ejecutar la extracción.</w:t>
      </w:r>
    </w:p>
    <w:p>
      <w:pPr>
        <w:spacing w:after="60"/>
        <w:ind w:left="403" w:hanging="403"/>
      </w:pPr>
      <w:r>
        <w:t>4. Revisar cantidad de filas, calidad, advertencias y filas enviadas a revisión.</w:t>
      </w:r>
    </w:p>
    <w:p>
      <w:pPr>
        <w:spacing w:after="60"/>
        <w:ind w:left="403" w:hanging="403"/>
      </w:pPr>
      <w:r>
        <w:t>5. Descargar XLSX o XLS y validar una muestra contra el documento original antes de importarla.</w:t>
      </w:r>
    </w:p>
    <w:p>
      <w:pPr>
        <w:spacing w:after="60"/>
        <w:ind w:left="403" w:hanging="403"/>
      </w:pPr>
      <w:r>
        <w:t>6. Eliminar copias locales innecesarias y no reenviar documentos confidenciales por canales no autorizados.</w:t>
      </w:r>
    </w:p>
    <w:p>
      <w:pPr>
        <w:pStyle w:val="Heading2"/>
      </w:pPr>
      <w:r>
        <w:rPr>
          <w:color w:val="000000"/>
        </w:rPr>
        <w:t>Formatos y tratamiento de datos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val="true"/>
          <w:cantSplit/>
          <w:cantSplit/>
          <w:tblHeader/>
        </w:trPr>
        <w:tc>
          <w:tcPr>
            <w:tcW w:type="dxa" w:w="1656"/>
            <w:shd w:fill="183B56"/>
            <w:tcMar>
              <w:top w:w="110" w:type="dxa"/>
              <w:start w:w="110" w:type="dxa"/>
              <w:bottom w:w="110" w:type="dxa"/>
              <w:end w:w="110" w:type="dxa"/>
            </w:tcMar>
            <w:vAlign w:val="center"/>
            <w:shd w:fill="193B51"/>
            <w:tcMar>
              <w:top w:w="90" w:type="dxa"/>
              <w:bottom w:w="90" w:type="dxa"/>
              <w:left w:w="110" w:type="dxa"/>
              <w:right w:w="110" w:type="dxa"/>
            </w:tcMar>
          </w:tcPr>
          <w:p>
            <w:pPr>
              <w:spacing w:after="0"/>
              <w:jc w:val="center"/>
            </w:pPr>
            <w:r>
              <w:rPr>
                <w:b/>
                <w:color w:val="FFFFFF"/>
                <w:sz w:val="20"/>
              </w:rPr>
              <w:t>Formato</w:t>
            </w:r>
          </w:p>
        </w:tc>
        <w:tc>
          <w:tcPr>
            <w:tcW w:type="dxa" w:w="3096"/>
            <w:shd w:fill="183B56"/>
            <w:tcMar>
              <w:top w:w="110" w:type="dxa"/>
              <w:start w:w="110" w:type="dxa"/>
              <w:bottom w:w="110" w:type="dxa"/>
              <w:end w:w="110" w:type="dxa"/>
            </w:tcMar>
            <w:vAlign w:val="center"/>
            <w:shd w:fill="193B51"/>
            <w:tcMar>
              <w:top w:w="90" w:type="dxa"/>
              <w:bottom w:w="90" w:type="dxa"/>
              <w:left w:w="110" w:type="dxa"/>
              <w:right w:w="110" w:type="dxa"/>
            </w:tcMar>
          </w:tcPr>
          <w:p>
            <w:pPr>
              <w:spacing w:after="0"/>
              <w:jc w:val="center"/>
            </w:pPr>
            <w:r>
              <w:rPr>
                <w:b/>
                <w:color w:val="FFFFFF"/>
                <w:sz w:val="20"/>
              </w:rPr>
              <w:t>Procesamiento</w:t>
            </w:r>
          </w:p>
        </w:tc>
        <w:tc>
          <w:tcPr>
            <w:tcW w:type="dxa" w:w="1944"/>
            <w:shd w:fill="183B56"/>
            <w:tcMar>
              <w:top w:w="110" w:type="dxa"/>
              <w:start w:w="110" w:type="dxa"/>
              <w:bottom w:w="110" w:type="dxa"/>
              <w:end w:w="110" w:type="dxa"/>
            </w:tcMar>
            <w:vAlign w:val="center"/>
            <w:shd w:fill="193B51"/>
            <w:tcMar>
              <w:top w:w="90" w:type="dxa"/>
              <w:bottom w:w="90" w:type="dxa"/>
              <w:left w:w="110" w:type="dxa"/>
              <w:right w:w="110" w:type="dxa"/>
            </w:tcMar>
          </w:tcPr>
          <w:p>
            <w:pPr>
              <w:spacing w:after="0"/>
              <w:jc w:val="center"/>
            </w:pPr>
            <w:r>
              <w:rPr>
                <w:b/>
                <w:color w:val="FFFFFF"/>
                <w:sz w:val="20"/>
              </w:rPr>
              <w:t>IA externa</w:t>
            </w:r>
          </w:p>
        </w:tc>
        <w:tc>
          <w:tcPr>
            <w:tcW w:type="dxa" w:w="2952"/>
            <w:shd w:fill="183B56"/>
            <w:tcMar>
              <w:top w:w="110" w:type="dxa"/>
              <w:start w:w="110" w:type="dxa"/>
              <w:bottom w:w="110" w:type="dxa"/>
              <w:end w:w="110" w:type="dxa"/>
            </w:tcMar>
            <w:vAlign w:val="center"/>
            <w:shd w:fill="193B51"/>
            <w:tcMar>
              <w:top w:w="90" w:type="dxa"/>
              <w:bottom w:w="90" w:type="dxa"/>
              <w:left w:w="110" w:type="dxa"/>
              <w:right w:w="110" w:type="dxa"/>
            </w:tcMar>
          </w:tcPr>
          <w:p>
            <w:pPr>
              <w:spacing w:after="0"/>
              <w:jc w:val="center"/>
            </w:pPr>
            <w:r>
              <w:rPr>
                <w:b/>
                <w:color w:val="FFFFFF"/>
                <w:sz w:val="20"/>
              </w:rPr>
              <w:t>Control principal</w:t>
            </w:r>
          </w:p>
        </w:tc>
      </w:tr>
      <w:tr>
        <w:trPr>
          <w:cantSplit/>
          <w:cantSplit/>
        </w:trPr>
        <w:tc>
          <w:tcPr>
            <w:tcW w:type="dxa" w:w="1656"/>
            <w:tcMar>
              <w:top w:w="110" w:type="dxa"/>
              <w:start w:w="110" w:type="dxa"/>
              <w:bottom w:w="110" w:type="dxa"/>
              <w:end w:w="110" w:type="dxa"/>
            </w:tcMar>
            <w:vAlign w:val="center"/>
            <w:shd w:fill="FFFFFF"/>
            <w:tcMar>
              <w:top w:w="90" w:type="dxa"/>
              <w:bottom w:w="90" w:type="dxa"/>
              <w:left w:w="110" w:type="dxa"/>
              <w:right w:w="110" w:type="dxa"/>
            </w:tcMar>
          </w:tcPr>
          <w:p>
            <w:pPr>
              <w:spacing w:after="0"/>
            </w:pPr>
            <w:r>
              <w:rPr>
                <w:b w:val="0"/>
                <w:color w:val="000000"/>
                <w:sz w:val="20"/>
              </w:rPr>
              <w:t>XLS XLSX XLSM CSV</w:t>
            </w:r>
          </w:p>
        </w:tc>
        <w:tc>
          <w:tcPr>
            <w:tcW w:type="dxa" w:w="3096"/>
            <w:tcMar>
              <w:top w:w="110" w:type="dxa"/>
              <w:start w:w="110" w:type="dxa"/>
              <w:bottom w:w="110" w:type="dxa"/>
              <w:end w:w="110" w:type="dxa"/>
            </w:tcMar>
            <w:vAlign w:val="center"/>
            <w:shd w:fill="FFFFFF"/>
            <w:tcMar>
              <w:top w:w="90" w:type="dxa"/>
              <w:bottom w:w="90" w:type="dxa"/>
              <w:left w:w="110" w:type="dxa"/>
              <w:right w:w="110" w:type="dxa"/>
            </w:tcMar>
          </w:tcPr>
          <w:p>
            <w:pPr>
              <w:spacing w:after="0"/>
            </w:pPr>
            <w:r>
              <w:rPr>
                <w:b w:val="0"/>
                <w:color w:val="000000"/>
                <w:sz w:val="20"/>
              </w:rPr>
              <w:t>Local con pandas y librerías de Excel</w:t>
            </w:r>
          </w:p>
        </w:tc>
        <w:tc>
          <w:tcPr>
            <w:tcW w:type="dxa" w:w="1944"/>
            <w:tcMar>
              <w:top w:w="110" w:type="dxa"/>
              <w:start w:w="110" w:type="dxa"/>
              <w:bottom w:w="110" w:type="dxa"/>
              <w:end w:w="110" w:type="dxa"/>
            </w:tcMar>
            <w:vAlign w:val="center"/>
            <w:shd w:fill="FFFFFF"/>
            <w:tcMar>
              <w:top w:w="90" w:type="dxa"/>
              <w:bottom w:w="90" w:type="dxa"/>
              <w:left w:w="110" w:type="dxa"/>
              <w:right w:w="110" w:type="dxa"/>
            </w:tcMar>
          </w:tcPr>
          <w:p>
            <w:pPr>
              <w:spacing w:after="0"/>
            </w:pPr>
            <w:r>
              <w:rPr>
                <w:b w:val="0"/>
                <w:color w:val="000000"/>
                <w:sz w:val="20"/>
              </w:rPr>
              <w:t>No por defecto</w:t>
            </w:r>
          </w:p>
        </w:tc>
        <w:tc>
          <w:tcPr>
            <w:tcW w:type="dxa" w:w="2952"/>
            <w:tcMar>
              <w:top w:w="110" w:type="dxa"/>
              <w:start w:w="110" w:type="dxa"/>
              <w:bottom w:w="110" w:type="dxa"/>
              <w:end w:w="110" w:type="dxa"/>
            </w:tcMar>
            <w:vAlign w:val="center"/>
            <w:shd w:fill="FFFFFF"/>
            <w:tcMar>
              <w:top w:w="90" w:type="dxa"/>
              <w:bottom w:w="90" w:type="dxa"/>
              <w:left w:w="110" w:type="dxa"/>
              <w:right w:w="110" w:type="dxa"/>
            </w:tcMar>
          </w:tcPr>
          <w:p>
            <w:pPr>
              <w:spacing w:after="0"/>
            </w:pPr>
            <w:r>
              <w:rPr>
                <w:b w:val="0"/>
                <w:color w:val="000000"/>
                <w:sz w:val="20"/>
              </w:rPr>
              <w:t>Firma, estructura ZIP, tamaño y fórmulas de salida</w:t>
            </w:r>
          </w:p>
        </w:tc>
      </w:tr>
      <w:tr>
        <w:trPr>
          <w:cantSplit/>
          <w:cantSplit/>
        </w:trPr>
        <w:tc>
          <w:tcPr>
            <w:tcW w:type="dxa" w:w="1656"/>
            <w:tcMar>
              <w:top w:w="110" w:type="dxa"/>
              <w:start w:w="110" w:type="dxa"/>
              <w:bottom w:w="110" w:type="dxa"/>
              <w:end w:w="110" w:type="dxa"/>
            </w:tcMar>
            <w:vAlign w:val="center"/>
            <w:shd w:fill="EAF3F8"/>
            <w:shd w:fill="EAF2F7"/>
            <w:tcMar>
              <w:top w:w="90" w:type="dxa"/>
              <w:bottom w:w="90" w:type="dxa"/>
              <w:left w:w="110" w:type="dxa"/>
              <w:right w:w="110" w:type="dxa"/>
            </w:tcMar>
          </w:tcPr>
          <w:p>
            <w:pPr>
              <w:spacing w:after="0"/>
            </w:pPr>
            <w:r>
              <w:rPr>
                <w:b w:val="0"/>
                <w:color w:val="000000"/>
                <w:sz w:val="20"/>
              </w:rPr>
              <w:t>PDF</w:t>
            </w:r>
          </w:p>
        </w:tc>
        <w:tc>
          <w:tcPr>
            <w:tcW w:type="dxa" w:w="3096"/>
            <w:tcMar>
              <w:top w:w="110" w:type="dxa"/>
              <w:start w:w="110" w:type="dxa"/>
              <w:bottom w:w="110" w:type="dxa"/>
              <w:end w:w="110" w:type="dxa"/>
            </w:tcMar>
            <w:vAlign w:val="center"/>
            <w:shd w:fill="EAF3F8"/>
            <w:shd w:fill="EAF2F7"/>
            <w:tcMar>
              <w:top w:w="90" w:type="dxa"/>
              <w:bottom w:w="90" w:type="dxa"/>
              <w:left w:w="110" w:type="dxa"/>
              <w:right w:w="110" w:type="dxa"/>
            </w:tcMar>
          </w:tcPr>
          <w:p>
            <w:pPr>
              <w:spacing w:after="0"/>
            </w:pPr>
            <w:r>
              <w:rPr>
                <w:b w:val="0"/>
                <w:color w:val="000000"/>
                <w:sz w:val="20"/>
              </w:rPr>
              <w:t>Texto tablas y reglas locales; complemento opcional</w:t>
            </w:r>
          </w:p>
        </w:tc>
        <w:tc>
          <w:tcPr>
            <w:tcW w:type="dxa" w:w="1944"/>
            <w:tcMar>
              <w:top w:w="110" w:type="dxa"/>
              <w:start w:w="110" w:type="dxa"/>
              <w:bottom w:w="110" w:type="dxa"/>
              <w:end w:w="110" w:type="dxa"/>
            </w:tcMar>
            <w:vAlign w:val="center"/>
            <w:shd w:fill="EAF3F8"/>
            <w:shd w:fill="EAF2F7"/>
            <w:tcMar>
              <w:top w:w="90" w:type="dxa"/>
              <w:bottom w:w="90" w:type="dxa"/>
              <w:left w:w="110" w:type="dxa"/>
              <w:right w:w="110" w:type="dxa"/>
            </w:tcMar>
          </w:tcPr>
          <w:p>
            <w:pPr>
              <w:spacing w:after="0"/>
            </w:pPr>
            <w:r>
              <w:rPr>
                <w:b w:val="0"/>
                <w:color w:val="000000"/>
                <w:sz w:val="20"/>
              </w:rPr>
              <w:t>Solo si está autorizada</w:t>
            </w:r>
          </w:p>
        </w:tc>
        <w:tc>
          <w:tcPr>
            <w:tcW w:type="dxa" w:w="2952"/>
            <w:tcMar>
              <w:top w:w="110" w:type="dxa"/>
              <w:start w:w="110" w:type="dxa"/>
              <w:bottom w:w="110" w:type="dxa"/>
              <w:end w:w="110" w:type="dxa"/>
            </w:tcMar>
            <w:vAlign w:val="center"/>
            <w:shd w:fill="EAF3F8"/>
            <w:shd w:fill="EAF2F7"/>
            <w:tcMar>
              <w:top w:w="90" w:type="dxa"/>
              <w:bottom w:w="90" w:type="dxa"/>
              <w:left w:w="110" w:type="dxa"/>
              <w:right w:w="110" w:type="dxa"/>
            </w:tcMar>
          </w:tcPr>
          <w:p>
            <w:pPr>
              <w:spacing w:after="0"/>
            </w:pPr>
            <w:r>
              <w:rPr>
                <w:b w:val="0"/>
                <w:color w:val="000000"/>
                <w:sz w:val="20"/>
              </w:rPr>
              <w:t>Firma, tamaño, páginas y tiempo máximo</w:t>
            </w:r>
          </w:p>
        </w:tc>
      </w:tr>
      <w:tr>
        <w:trPr>
          <w:cantSplit/>
          <w:cantSplit/>
        </w:trPr>
        <w:tc>
          <w:tcPr>
            <w:tcW w:type="dxa" w:w="1656"/>
            <w:tcMar>
              <w:top w:w="110" w:type="dxa"/>
              <w:start w:w="110" w:type="dxa"/>
              <w:bottom w:w="110" w:type="dxa"/>
              <w:end w:w="110" w:type="dxa"/>
            </w:tcMar>
            <w:vAlign w:val="center"/>
            <w:shd w:fill="FFFFFF"/>
            <w:tcMar>
              <w:top w:w="90" w:type="dxa"/>
              <w:bottom w:w="90" w:type="dxa"/>
              <w:left w:w="110" w:type="dxa"/>
              <w:right w:w="110" w:type="dxa"/>
            </w:tcMar>
          </w:tcPr>
          <w:p>
            <w:pPr>
              <w:spacing w:after="0"/>
            </w:pPr>
            <w:r>
              <w:rPr>
                <w:b w:val="0"/>
                <w:color w:val="000000"/>
                <w:sz w:val="20"/>
              </w:rPr>
              <w:t>JPG JPEG PNG WEBP</w:t>
            </w:r>
          </w:p>
        </w:tc>
        <w:tc>
          <w:tcPr>
            <w:tcW w:type="dxa" w:w="3096"/>
            <w:tcMar>
              <w:top w:w="110" w:type="dxa"/>
              <w:start w:w="110" w:type="dxa"/>
              <w:bottom w:w="110" w:type="dxa"/>
              <w:end w:w="110" w:type="dxa"/>
            </w:tcMar>
            <w:vAlign w:val="center"/>
            <w:shd w:fill="FFFFFF"/>
            <w:tcMar>
              <w:top w:w="90" w:type="dxa"/>
              <w:bottom w:w="90" w:type="dxa"/>
              <w:left w:w="110" w:type="dxa"/>
              <w:right w:w="110" w:type="dxa"/>
            </w:tcMar>
          </w:tcPr>
          <w:p>
            <w:pPr>
              <w:spacing w:after="0"/>
            </w:pPr>
            <w:r>
              <w:rPr>
                <w:b w:val="0"/>
                <w:color w:val="000000"/>
                <w:sz w:val="20"/>
              </w:rPr>
              <w:t>Lectura de imagen y visión</w:t>
            </w:r>
          </w:p>
        </w:tc>
        <w:tc>
          <w:tcPr>
            <w:tcW w:type="dxa" w:w="1944"/>
            <w:tcMar>
              <w:top w:w="110" w:type="dxa"/>
              <w:start w:w="110" w:type="dxa"/>
              <w:bottom w:w="110" w:type="dxa"/>
              <w:end w:w="110" w:type="dxa"/>
            </w:tcMar>
            <w:vAlign w:val="center"/>
            <w:shd w:fill="FFFFFF"/>
            <w:tcMar>
              <w:top w:w="90" w:type="dxa"/>
              <w:bottom w:w="90" w:type="dxa"/>
              <w:left w:w="110" w:type="dxa"/>
              <w:right w:w="110" w:type="dxa"/>
            </w:tcMar>
          </w:tcPr>
          <w:p>
            <w:pPr>
              <w:spacing w:after="0"/>
            </w:pPr>
            <w:r>
              <w:rPr>
                <w:b w:val="0"/>
                <w:color w:val="000000"/>
                <w:sz w:val="20"/>
              </w:rPr>
              <w:t>Normalmente necesaria</w:t>
            </w:r>
          </w:p>
        </w:tc>
        <w:tc>
          <w:tcPr>
            <w:tcW w:type="dxa" w:w="2952"/>
            <w:tcMar>
              <w:top w:w="110" w:type="dxa"/>
              <w:start w:w="110" w:type="dxa"/>
              <w:bottom w:w="110" w:type="dxa"/>
              <w:end w:w="110" w:type="dxa"/>
            </w:tcMar>
            <w:vAlign w:val="center"/>
            <w:shd w:fill="FFFFFF"/>
            <w:tcMar>
              <w:top w:w="90" w:type="dxa"/>
              <w:bottom w:w="90" w:type="dxa"/>
              <w:left w:w="110" w:type="dxa"/>
              <w:right w:w="110" w:type="dxa"/>
            </w:tcMar>
          </w:tcPr>
          <w:p>
            <w:pPr>
              <w:spacing w:after="0"/>
            </w:pPr>
            <w:r>
              <w:rPr>
                <w:b w:val="0"/>
                <w:color w:val="000000"/>
                <w:sz w:val="20"/>
              </w:rPr>
              <w:t>Firma, integridad y límite de píxeles</w:t>
            </w:r>
          </w:p>
        </w:tc>
      </w:tr>
      <w:tr>
        <w:trPr>
          <w:cantSplit/>
        </w:trPr>
        <w:tc>
          <w:tcPr>
            <w:tcW w:type="dxa" w:w="2484"/>
            <w:vAlign w:val="center"/>
            <w:shd w:fill="EAF2F7"/>
            <w:tcMar>
              <w:top w:w="90" w:type="dxa"/>
              <w:bottom w:w="90" w:type="dxa"/>
              <w:left w:w="110" w:type="dxa"/>
              <w:right w:w="110" w:type="dxa"/>
            </w:tcMar>
          </w:tcPr>
          <w:p>
            <w:pPr>
              <w:spacing w:after="0"/>
            </w:pPr>
            <w:r>
              <w:rPr>
                <w:b w:val="0"/>
                <w:color w:val="000000"/>
                <w:sz w:val="20"/>
              </w:rPr>
              <w:t>DOCX</w:t>
            </w:r>
          </w:p>
        </w:tc>
        <w:tc>
          <w:tcPr>
            <w:tcW w:type="dxa" w:w="2484"/>
            <w:vAlign w:val="center"/>
            <w:shd w:fill="EAF2F7"/>
            <w:tcMar>
              <w:top w:w="90" w:type="dxa"/>
              <w:bottom w:w="90" w:type="dxa"/>
              <w:left w:w="110" w:type="dxa"/>
              <w:right w:w="110" w:type="dxa"/>
            </w:tcMar>
          </w:tcPr>
          <w:p>
            <w:pPr>
              <w:spacing w:after="0"/>
            </w:pPr>
            <w:r>
              <w:rPr>
                <w:b w:val="0"/>
                <w:color w:val="000000"/>
                <w:sz w:val="20"/>
              </w:rPr>
              <w:t>Lectura local de texto y tablas</w:t>
            </w:r>
          </w:p>
        </w:tc>
        <w:tc>
          <w:tcPr>
            <w:tcW w:type="dxa" w:w="2484"/>
            <w:vAlign w:val="center"/>
            <w:shd w:fill="EAF2F7"/>
            <w:tcMar>
              <w:top w:w="90" w:type="dxa"/>
              <w:bottom w:w="90" w:type="dxa"/>
              <w:left w:w="110" w:type="dxa"/>
              <w:right w:w="110" w:type="dxa"/>
            </w:tcMar>
          </w:tcPr>
          <w:p>
            <w:pPr>
              <w:spacing w:after="0"/>
            </w:pPr>
            <w:r>
              <w:rPr>
                <w:b w:val="0"/>
                <w:color w:val="000000"/>
                <w:sz w:val="20"/>
              </w:rPr>
              <w:t>No por defecto</w:t>
            </w:r>
          </w:p>
        </w:tc>
        <w:tc>
          <w:tcPr>
            <w:tcW w:type="dxa" w:w="2484"/>
            <w:vAlign w:val="center"/>
            <w:shd w:fill="EAF2F7"/>
            <w:tcMar>
              <w:top w:w="90" w:type="dxa"/>
              <w:bottom w:w="90" w:type="dxa"/>
              <w:left w:w="110" w:type="dxa"/>
              <w:right w:w="110" w:type="dxa"/>
            </w:tcMar>
          </w:tcPr>
          <w:p>
            <w:pPr>
              <w:spacing w:after="0"/>
            </w:pPr>
            <w:r>
              <w:rPr>
                <w:b w:val="0"/>
                <w:color w:val="000000"/>
                <w:sz w:val="20"/>
              </w:rPr>
              <w:t>Firma ZIP Office, estructura, rutas y tamaño</w:t>
            </w:r>
          </w:p>
        </w:tc>
      </w:tr>
    </w:tbl>
    <w:p>
      <w:pPr>
        <w:spacing w:after="40"/>
      </w:pPr>
    </w:p>
    <w:p>
      <w:pPr>
        <w:pStyle w:val="Heading1"/>
      </w:pPr>
      <w:r>
        <w:rPr>
          <w:color w:val="000000"/>
        </w:rPr>
        <w:t>Administración de usuarios</w:t>
      </w:r>
    </w:p>
    <w:p>
      <w:r>
        <w:t>En el servidor abrir https://127.0.0.1:3000. La pestaña Usuarios es la tercera, junto a Subir Archivos y Resultados. Solo se permite desde un origen y una conexión de loopback. Si falta, verificar https://127.0.0.1:8000/auth/me: debe mostrar local_admin: true y Administrador local; recargar con Ctrl + F5 y confirmar que el repo esté actualizado.</w:t>
      </w:r>
    </w:p>
    <w:p>
      <w:pPr>
        <w:pStyle w:val="Heading2"/>
      </w:pPr>
      <w:r>
        <w:rPr>
          <w:color w:val="000000"/>
        </w:rPr>
        <w:t>Crear un usuario</w:t>
      </w:r>
    </w:p>
    <w:p>
      <w:pPr>
        <w:spacing w:after="60"/>
        <w:ind w:left="403" w:hanging="403"/>
      </w:pPr>
      <w:r>
        <w:t>1. Ingresar el correo y una contraseña inicial de al menos 10 caracteres.</w:t>
      </w:r>
    </w:p>
    <w:p>
      <w:pPr>
        <w:spacing w:after="60"/>
        <w:ind w:left="403" w:hanging="403"/>
      </w:pPr>
      <w:r>
        <w:t>2. Seleccionar Crear y enviar confirmación.</w:t>
      </w:r>
    </w:p>
    <w:p>
      <w:pPr>
        <w:spacing w:after="60"/>
        <w:ind w:left="403" w:hanging="403"/>
      </w:pPr>
      <w:r>
        <w:t>3. Pedir al usuario que abra el enlace recibido dentro de la LAN.</w:t>
      </w:r>
    </w:p>
    <w:p>
      <w:pPr>
        <w:spacing w:after="60"/>
        <w:ind w:left="403" w:hanging="403"/>
      </w:pPr>
      <w:r>
        <w:t>4. Comprobar que el estado cambie de Pendiente a Confirmado.</w:t>
      </w:r>
    </w:p>
    <w:p>
      <w:pPr>
        <w:pStyle w:val="Heading2"/>
      </w:pPr>
      <w:r>
        <w:rPr>
          <w:color w:val="000000"/>
        </w:rPr>
        <w:t>Modificar un usuario</w:t>
      </w:r>
    </w:p>
    <w:p>
      <w:pPr>
        <w:spacing w:after="60"/>
        <w:ind w:left="403" w:hanging="403"/>
      </w:pPr>
      <w:r>
        <w:t>1. Seleccionar Modificar junto al usuario.</w:t>
      </w:r>
    </w:p>
    <w:p>
      <w:pPr>
        <w:spacing w:after="60"/>
        <w:ind w:left="403" w:hanging="403"/>
      </w:pPr>
      <w:r>
        <w:t>2. Cambiar el correo, la contraseña o ambos. Dejar la contraseña vacía para conservarla.</w:t>
      </w:r>
    </w:p>
    <w:p>
      <w:pPr>
        <w:spacing w:after="60"/>
        <w:ind w:left="403" w:hanging="403"/>
      </w:pPr>
      <w:r>
        <w:t>3. Guardar. Un cambio de correo genera una nueva confirmación; un cambio de contraseña cierra las sesiones anteriores.</w:t>
      </w:r>
    </w:p>
    <w:p>
      <w:pPr>
        <w:pStyle w:val="Heading2"/>
      </w:pPr>
      <w:r>
        <w:rPr>
          <w:color w:val="000000"/>
        </w:rPr>
        <w:t>Deshabilitar o eliminar un usuario</w:t>
      </w:r>
    </w:p>
    <w:p>
      <w:pPr>
        <w:pStyle w:val="ListBullet"/>
      </w:pPr>
      <w:r>
        <w:t>Deshabilitar conserva el registro y corta el acceso. Usar esta opción para ausencias o bloqueos temporales.</w:t>
      </w:r>
    </w:p>
    <w:p>
      <w:pPr>
        <w:pStyle w:val="ListBullet"/>
      </w:pPr>
      <w:r>
        <w:t>Eliminar borra definitivamente el registro y revoca el acceso. Usarlo cuando la persona deja de estar autorizada.</w:t>
      </w:r>
    </w:p>
    <w:p>
      <w:pPr>
        <w:pStyle w:val="ListBullet"/>
      </w:pPr>
      <w:r>
        <w:t>Reenviar solo funciona para usuarios pendientes y habilitados.</w:t>
      </w:r>
    </w:p>
    <w:p>
      <w:pPr>
        <w:pStyle w:val="Heading1"/>
      </w:pPr>
      <w:r>
        <w:rPr>
          <w:color w:val="000000"/>
        </w:rPr>
        <w:t>Gestión de tokens cuentas y créditos</w:t>
      </w:r>
    </w:p>
    <w:p>
      <w:pPr>
        <w:pStyle w:val="Heading2"/>
      </w:pPr>
      <w:r>
        <w:rPr>
          <w:color w:val="000000"/>
        </w:rPr>
        <w:t>Clave de Anthropic</w:t>
      </w:r>
    </w:p>
    <w:p>
      <w:pPr>
        <w:spacing w:after="60"/>
        <w:ind w:left="403" w:hanging="403"/>
      </w:pPr>
      <w:r>
        <w:t>1. Ingresar a Claude Platform con una cuenta organizacional y doble factor.</w:t>
      </w:r>
    </w:p>
    <w:p>
      <w:pPr>
        <w:spacing w:after="60"/>
        <w:ind w:left="403" w:hanging="403"/>
      </w:pPr>
      <w:r>
        <w:t>2. Abrir Settings y API keys. Crear una clave identificada como PriceBot servidor.</w:t>
      </w:r>
    </w:p>
    <w:p>
      <w:pPr>
        <w:spacing w:after="60"/>
        <w:ind w:left="403" w:hanging="403"/>
      </w:pPr>
      <w:r>
        <w:t>3. Copiarla una sola vez en ANTHROPIC_API_KEY dentro de pricebot\.env.</w:t>
      </w:r>
    </w:p>
    <w:p>
      <w:pPr>
        <w:spacing w:after="60"/>
        <w:ind w:left="403" w:hanging="403"/>
      </w:pPr>
      <w:r>
        <w:t>4. Establecer PRICEBOT_ALLOW_EXTERNAL_AI=1 únicamente con autorización de tratamiento de datos.</w:t>
      </w:r>
    </w:p>
    <w:p>
      <w:pPr>
        <w:spacing w:after="60"/>
        <w:ind w:left="403" w:hanging="403"/>
      </w:pPr>
      <w:r>
        <w:t>5. Reiniciar PriceBot y ejecutar una prueba no confidencial.</w:t>
      </w:r>
    </w:p>
    <w:p>
      <w:r>
        <w:t>Rotación recomendada: crear una clave nueva, reemplazarla en el servidor, reiniciar, probar y recién entonces revocar la anterior. Si una clave aparece en un chat, correo, captura o repositorio, revocarla inmediatamente.</w:t>
      </w:r>
    </w:p>
    <w:p>
      <w:pPr>
        <w:pStyle w:val="Heading2"/>
      </w:pPr>
      <w:r>
        <w:rPr>
          <w:color w:val="000000"/>
        </w:rPr>
        <w:t>Compra y control de créditos</w:t>
      </w:r>
    </w:p>
    <w:p>
      <w:pPr>
        <w:spacing w:after="60"/>
        <w:ind w:left="403" w:hanging="403"/>
      </w:pPr>
      <w:r>
        <w:t>1. Abrir la página Billing de Claude Platform y revisar la organización seleccionada.</w:t>
      </w:r>
    </w:p>
    <w:p>
      <w:pPr>
        <w:spacing w:after="60"/>
        <w:ind w:left="403" w:hanging="403"/>
      </w:pPr>
      <w:r>
        <w:t>2. Seleccionar Buy credits, definir el importe y confirmar el medio de pago autorizado.</w:t>
      </w:r>
    </w:p>
    <w:p>
      <w:pPr>
        <w:spacing w:after="60"/>
        <w:ind w:left="403" w:hanging="403"/>
      </w:pPr>
      <w:r>
        <w:t>3. Configurar auto reload solo si Administración aprueba el umbral y el monto de recarga.</w:t>
      </w:r>
    </w:p>
    <w:p>
      <w:pPr>
        <w:spacing w:after="60"/>
        <w:ind w:left="403" w:hanging="403"/>
      </w:pPr>
      <w:r>
        <w:t>4. Revisar Usage por modelo y API key, y contrastarlo con costs_log.jsonl del servidor.</w:t>
      </w:r>
    </w:p>
    <w:p>
      <w:r>
        <w:t>Anthropic informa que la API usa créditos prepagados, que las llamadas exitosas consumen saldo y que los créditos comprados vencen un año después y no son reembolsables. Los roles Developer, Billing y Admin pueden consultar uso y costos; asignar el mínimo rol necesario.</w:t>
      </w:r>
    </w:p>
    <w:p>
      <w:pPr>
        <w:pStyle w:val="Heading2"/>
      </w:pPr>
      <w:r>
        <w:rPr>
          <w:color w:val="000000"/>
        </w:rPr>
        <w:t>Correo Gmail para confirmaciones</w:t>
      </w:r>
    </w:p>
    <w:p>
      <w:pPr>
        <w:spacing w:after="60"/>
        <w:ind w:left="403" w:hanging="403"/>
      </w:pPr>
      <w:r>
        <w:t>1. Mantener activa la verificación en dos pasos de herni.wazi@gmail.com.</w:t>
      </w:r>
    </w:p>
    <w:p>
      <w:pPr>
        <w:spacing w:after="60"/>
        <w:ind w:left="403" w:hanging="403"/>
      </w:pPr>
      <w:r>
        <w:t>2. Generar una contraseña de aplicación exclusiva para PriceBot.</w:t>
      </w:r>
    </w:p>
    <w:p>
      <w:pPr>
        <w:spacing w:after="60"/>
        <w:ind w:left="403" w:hanging="403"/>
      </w:pPr>
      <w:r>
        <w:t>3. Guardar el valor sin espacios en PRICEBOT_SMTP_PASSWORD dentro de pricebot\.env.</w:t>
      </w:r>
    </w:p>
    <w:p>
      <w:pPr>
        <w:spacing w:after="60"/>
        <w:ind w:left="403" w:hanging="403"/>
      </w:pPr>
      <w:r>
        <w:t>4. Si se cambia la contraseña principal de Google o se sospecha exposición, generar una nueva contraseña de aplicación y revocar la anterior.</w:t>
      </w:r>
    </w:p>
    <w:p>
      <w:pPr>
        <w:pStyle w:val="Heading1"/>
      </w:pPr>
      <w:r>
        <w:rPr>
          <w:color w:val="000000"/>
        </w:rPr>
        <w:t>Archivos de configuración y secretos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val="true"/>
          <w:cantSplit/>
        </w:trPr>
        <w:tc>
          <w:tcPr>
            <w:tcW w:type="dxa" w:w="1800"/>
            <w:shd w:fill="183B56"/>
            <w:tcMar>
              <w:top w:w="110" w:type="dxa"/>
              <w:start w:w="110" w:type="dxa"/>
              <w:bottom w:w="110" w:type="dxa"/>
              <w:end w:w="110" w:type="dxa"/>
            </w:tcMar>
            <w:vAlign w:val="center"/>
          </w:tcPr>
          <w:p>
            <w:pPr>
              <w:jc w:val="center"/>
            </w:pPr>
            <w:r>
              <w:rPr>
                <w:b/>
                <w:color w:val="FFFFFF"/>
                <w:sz w:val="19"/>
              </w:rPr>
              <w:t>Elemento</w:t>
            </w:r>
          </w:p>
        </w:tc>
        <w:tc>
          <w:tcPr>
            <w:tcW w:type="dxa" w:w="3096"/>
            <w:shd w:fill="183B56"/>
            <w:tcMar>
              <w:top w:w="110" w:type="dxa"/>
              <w:start w:w="110" w:type="dxa"/>
              <w:bottom w:w="110" w:type="dxa"/>
              <w:end w:w="110" w:type="dxa"/>
            </w:tcMar>
            <w:vAlign w:val="center"/>
          </w:tcPr>
          <w:p>
            <w:pPr>
              <w:jc w:val="center"/>
            </w:pPr>
            <w:r>
              <w:rPr>
                <w:b/>
                <w:color w:val="FFFFFF"/>
                <w:sz w:val="19"/>
              </w:rPr>
              <w:t>Ubicación</w:t>
            </w:r>
          </w:p>
        </w:tc>
        <w:tc>
          <w:tcPr>
            <w:tcW w:type="dxa" w:w="2088"/>
            <w:shd w:fill="183B56"/>
            <w:tcMar>
              <w:top w:w="110" w:type="dxa"/>
              <w:start w:w="110" w:type="dxa"/>
              <w:bottom w:w="110" w:type="dxa"/>
              <w:end w:w="110" w:type="dxa"/>
            </w:tcMar>
            <w:vAlign w:val="center"/>
          </w:tcPr>
          <w:p>
            <w:pPr>
              <w:jc w:val="center"/>
            </w:pPr>
            <w:r>
              <w:rPr>
                <w:b/>
                <w:color w:val="FFFFFF"/>
                <w:sz w:val="19"/>
              </w:rPr>
              <w:t>Respaldo</w:t>
            </w:r>
          </w:p>
        </w:tc>
        <w:tc>
          <w:tcPr>
            <w:tcW w:type="dxa" w:w="2664"/>
            <w:shd w:fill="183B56"/>
            <w:tcMar>
              <w:top w:w="110" w:type="dxa"/>
              <w:start w:w="110" w:type="dxa"/>
              <w:bottom w:w="110" w:type="dxa"/>
              <w:end w:w="110" w:type="dxa"/>
            </w:tcMar>
            <w:vAlign w:val="center"/>
          </w:tcPr>
          <w:p>
            <w:pPr>
              <w:jc w:val="center"/>
            </w:pPr>
            <w:r>
              <w:rPr>
                <w:b/>
                <w:color w:val="FFFFFF"/>
                <w:sz w:val="19"/>
              </w:rPr>
              <w:t>Regla</w:t>
            </w:r>
          </w:p>
        </w:tc>
      </w:tr>
      <w:tr>
        <w:trPr>
          <w:cantSplit/>
        </w:trPr>
        <w:tc>
          <w:tcPr>
            <w:tcW w:type="dxa" w:w="1800"/>
            <w:tcMar>
              <w:top w:w="110" w:type="dxa"/>
              <w:start w:w="110" w:type="dxa"/>
              <w:bottom w:w="110" w:type="dxa"/>
              <w:end w:w="110" w:type="dxa"/>
            </w:tcMar>
            <w:vAlign w:val="center"/>
          </w:tcPr>
          <w:p>
            <w:pPr>
              <w:spacing w:after="0"/>
            </w:pPr>
            <w:r>
              <w:rPr>
                <w:sz w:val="19"/>
              </w:rPr>
              <w:t>Variables y secretos</w:t>
            </w:r>
          </w:p>
        </w:tc>
        <w:tc>
          <w:tcPr>
            <w:tcW w:type="dxa" w:w="3096"/>
            <w:tcMar>
              <w:top w:w="110" w:type="dxa"/>
              <w:start w:w="110" w:type="dxa"/>
              <w:bottom w:w="110" w:type="dxa"/>
              <w:end w:w="110" w:type="dxa"/>
            </w:tcMar>
            <w:vAlign w:val="center"/>
          </w:tcPr>
          <w:p>
            <w:pPr>
              <w:spacing w:after="0"/>
            </w:pPr>
            <w:r>
              <w:rPr>
                <w:sz w:val="19"/>
              </w:rPr>
              <w:t>pricebot\.env</w:t>
            </w:r>
          </w:p>
        </w:tc>
        <w:tc>
          <w:tcPr>
            <w:tcW w:type="dxa" w:w="2088"/>
            <w:tcMar>
              <w:top w:w="110" w:type="dxa"/>
              <w:start w:w="110" w:type="dxa"/>
              <w:bottom w:w="110" w:type="dxa"/>
              <w:end w:w="110" w:type="dxa"/>
            </w:tcMar>
            <w:vAlign w:val="center"/>
          </w:tcPr>
          <w:p>
            <w:pPr>
              <w:spacing w:after="0"/>
            </w:pPr>
            <w:r>
              <w:rPr>
                <w:sz w:val="19"/>
              </w:rPr>
              <w:t>Gestor seguro o copia cifrada</w:t>
            </w:r>
          </w:p>
        </w:tc>
        <w:tc>
          <w:tcPr>
            <w:tcW w:type="dxa" w:w="2664"/>
            <w:tcMar>
              <w:top w:w="110" w:type="dxa"/>
              <w:start w:w="110" w:type="dxa"/>
              <w:bottom w:w="110" w:type="dxa"/>
              <w:end w:w="110" w:type="dxa"/>
            </w:tcMar>
            <w:vAlign w:val="center"/>
          </w:tcPr>
          <w:p>
            <w:pPr>
              <w:spacing w:after="0"/>
            </w:pPr>
            <w:r>
              <w:rPr>
                <w:sz w:val="19"/>
              </w:rPr>
              <w:t>Nunca subir a Git</w:t>
            </w:r>
          </w:p>
        </w:tc>
      </w:tr>
      <w:tr>
        <w:trPr>
          <w:cantSplit/>
        </w:trPr>
        <w:tc>
          <w:tcPr>
            <w:tcW w:type="dxa" w:w="1800"/>
            <w:tcMar>
              <w:top w:w="110" w:type="dxa"/>
              <w:start w:w="110" w:type="dxa"/>
              <w:bottom w:w="110" w:type="dxa"/>
              <w:end w:w="110" w:type="dxa"/>
            </w:tcMar>
            <w:vAlign w:val="center"/>
            <w:shd w:fill="EAF3F8"/>
          </w:tcPr>
          <w:p>
            <w:pPr>
              <w:spacing w:after="0"/>
            </w:pPr>
            <w:r>
              <w:rPr>
                <w:sz w:val="19"/>
              </w:rPr>
              <w:t>Usuarios</w:t>
            </w:r>
          </w:p>
        </w:tc>
        <w:tc>
          <w:tcPr>
            <w:tcW w:type="dxa" w:w="3096"/>
            <w:tcMar>
              <w:top w:w="110" w:type="dxa"/>
              <w:start w:w="110" w:type="dxa"/>
              <w:bottom w:w="110" w:type="dxa"/>
              <w:end w:w="110" w:type="dxa"/>
            </w:tcMar>
            <w:vAlign w:val="center"/>
            <w:shd w:fill="EAF3F8"/>
          </w:tcPr>
          <w:p>
            <w:pPr>
              <w:spacing w:after="0"/>
            </w:pPr>
            <w:r>
              <w:rPr>
                <w:sz w:val="19"/>
              </w:rPr>
              <w:t>pricebot\api\data\users.db</w:t>
            </w:r>
          </w:p>
        </w:tc>
        <w:tc>
          <w:tcPr>
            <w:tcW w:type="dxa" w:w="2088"/>
            <w:tcMar>
              <w:top w:w="110" w:type="dxa"/>
              <w:start w:w="110" w:type="dxa"/>
              <w:bottom w:w="110" w:type="dxa"/>
              <w:end w:w="110" w:type="dxa"/>
            </w:tcMar>
            <w:vAlign w:val="center"/>
            <w:shd w:fill="EAF3F8"/>
          </w:tcPr>
          <w:p>
            <w:pPr>
              <w:spacing w:after="0"/>
            </w:pPr>
            <w:r>
              <w:rPr>
                <w:sz w:val="19"/>
              </w:rPr>
              <w:t>Copia cifrada periódica</w:t>
            </w:r>
          </w:p>
        </w:tc>
        <w:tc>
          <w:tcPr>
            <w:tcW w:type="dxa" w:w="2664"/>
            <w:tcMar>
              <w:top w:w="110" w:type="dxa"/>
              <w:start w:w="110" w:type="dxa"/>
              <w:bottom w:w="110" w:type="dxa"/>
              <w:end w:w="110" w:type="dxa"/>
            </w:tcMar>
            <w:vAlign w:val="center"/>
            <w:shd w:fill="EAF3F8"/>
          </w:tcPr>
          <w:p>
            <w:pPr>
              <w:spacing w:after="0"/>
            </w:pPr>
            <w:r>
              <w:rPr>
                <w:sz w:val="19"/>
              </w:rPr>
              <w:t>Detener servicio antes de copiar</w:t>
            </w:r>
          </w:p>
        </w:tc>
      </w:tr>
      <w:tr>
        <w:trPr>
          <w:cantSplit/>
        </w:trPr>
        <w:tc>
          <w:tcPr>
            <w:tcW w:type="dxa" w:w="1800"/>
            <w:tcMar>
              <w:top w:w="110" w:type="dxa"/>
              <w:start w:w="110" w:type="dxa"/>
              <w:bottom w:w="110" w:type="dxa"/>
              <w:end w:w="110" w:type="dxa"/>
            </w:tcMar>
            <w:vAlign w:val="center"/>
          </w:tcPr>
          <w:p>
            <w:pPr>
              <w:spacing w:after="0"/>
            </w:pPr>
            <w:r>
              <w:rPr>
                <w:sz w:val="19"/>
              </w:rPr>
              <w:t>Código</w:t>
            </w:r>
          </w:p>
        </w:tc>
        <w:tc>
          <w:tcPr>
            <w:tcW w:type="dxa" w:w="3096"/>
            <w:tcMar>
              <w:top w:w="110" w:type="dxa"/>
              <w:start w:w="110" w:type="dxa"/>
              <w:bottom w:w="110" w:type="dxa"/>
              <w:end w:w="110" w:type="dxa"/>
            </w:tcMar>
            <w:vAlign w:val="center"/>
          </w:tcPr>
          <w:p>
            <w:pPr>
              <w:spacing w:after="0"/>
            </w:pPr>
            <w:r>
              <w:rPr>
                <w:sz w:val="19"/>
              </w:rPr>
              <w:t>Repositorio GitHub</w:t>
            </w:r>
          </w:p>
        </w:tc>
        <w:tc>
          <w:tcPr>
            <w:tcW w:type="dxa" w:w="2088"/>
            <w:tcMar>
              <w:top w:w="110" w:type="dxa"/>
              <w:start w:w="110" w:type="dxa"/>
              <w:bottom w:w="110" w:type="dxa"/>
              <w:end w:w="110" w:type="dxa"/>
            </w:tcMar>
            <w:vAlign w:val="center"/>
          </w:tcPr>
          <w:p>
            <w:pPr>
              <w:spacing w:after="0"/>
            </w:pPr>
            <w:r>
              <w:rPr>
                <w:sz w:val="19"/>
              </w:rPr>
              <w:t>Git</w:t>
            </w:r>
          </w:p>
        </w:tc>
        <w:tc>
          <w:tcPr>
            <w:tcW w:type="dxa" w:w="2664"/>
            <w:tcMar>
              <w:top w:w="110" w:type="dxa"/>
              <w:start w:w="110" w:type="dxa"/>
              <w:bottom w:w="110" w:type="dxa"/>
              <w:end w:w="110" w:type="dxa"/>
            </w:tcMar>
            <w:vAlign w:val="center"/>
          </w:tcPr>
          <w:p>
            <w:pPr>
              <w:spacing w:after="0"/>
            </w:pPr>
            <w:r>
              <w:rPr>
                <w:sz w:val="19"/>
              </w:rPr>
              <w:t>No incluir documentos ni secretos</w:t>
            </w:r>
          </w:p>
        </w:tc>
      </w:tr>
      <w:tr>
        <w:trPr>
          <w:cantSplit/>
        </w:trPr>
        <w:tc>
          <w:tcPr>
            <w:tcW w:type="dxa" w:w="1800"/>
            <w:tcMar>
              <w:top w:w="110" w:type="dxa"/>
              <w:start w:w="110" w:type="dxa"/>
              <w:bottom w:w="110" w:type="dxa"/>
              <w:end w:w="110" w:type="dxa"/>
            </w:tcMar>
            <w:vAlign w:val="center"/>
            <w:shd w:fill="EAF3F8"/>
          </w:tcPr>
          <w:p>
            <w:pPr>
              <w:spacing w:after="0"/>
            </w:pPr>
            <w:r>
              <w:rPr>
                <w:sz w:val="19"/>
              </w:rPr>
              <w:t>Historial de extracción</w:t>
            </w:r>
          </w:p>
        </w:tc>
        <w:tc>
          <w:tcPr>
            <w:tcW w:type="dxa" w:w="3096"/>
            <w:tcMar>
              <w:top w:w="110" w:type="dxa"/>
              <w:start w:w="110" w:type="dxa"/>
              <w:bottom w:w="110" w:type="dxa"/>
              <w:end w:w="110" w:type="dxa"/>
            </w:tcMar>
            <w:vAlign w:val="center"/>
            <w:shd w:fill="EAF3F8"/>
          </w:tcPr>
          <w:p>
            <w:pPr>
              <w:spacing w:after="0"/>
            </w:pPr>
            <w:r>
              <w:rPr>
                <w:sz w:val="19"/>
              </w:rPr>
              <w:t>Desactivado por defecto</w:t>
            </w:r>
          </w:p>
        </w:tc>
        <w:tc>
          <w:tcPr>
            <w:tcW w:type="dxa" w:w="2088"/>
            <w:tcMar>
              <w:top w:w="110" w:type="dxa"/>
              <w:start w:w="110" w:type="dxa"/>
              <w:bottom w:w="110" w:type="dxa"/>
              <w:end w:w="110" w:type="dxa"/>
            </w:tcMar>
            <w:vAlign w:val="center"/>
            <w:shd w:fill="EAF3F8"/>
          </w:tcPr>
          <w:p>
            <w:pPr>
              <w:spacing w:after="0"/>
            </w:pPr>
            <w:r>
              <w:rPr>
                <w:sz w:val="19"/>
              </w:rPr>
              <w:t>No aplica</w:t>
            </w:r>
          </w:p>
        </w:tc>
        <w:tc>
          <w:tcPr>
            <w:tcW w:type="dxa" w:w="2664"/>
            <w:tcMar>
              <w:top w:w="110" w:type="dxa"/>
              <w:start w:w="110" w:type="dxa"/>
              <w:bottom w:w="110" w:type="dxa"/>
              <w:end w:w="110" w:type="dxa"/>
            </w:tcMar>
            <w:vAlign w:val="center"/>
            <w:shd w:fill="EAF3F8"/>
          </w:tcPr>
          <w:p>
            <w:pPr>
              <w:spacing w:after="0"/>
            </w:pPr>
            <w:r>
              <w:rPr>
                <w:sz w:val="19"/>
              </w:rPr>
              <w:t>Activar solo con política de retención</w:t>
            </w:r>
          </w:p>
        </w:tc>
      </w:tr>
      <w:tr>
        <w:trPr>
          <w:cantSplit/>
        </w:trPr>
        <w:tc>
          <w:tcPr>
            <w:tcW w:type="dxa" w:w="1800"/>
            <w:tcMar>
              <w:top w:w="110" w:type="dxa"/>
              <w:start w:w="110" w:type="dxa"/>
              <w:bottom w:w="110" w:type="dxa"/>
              <w:end w:w="110" w:type="dxa"/>
            </w:tcMar>
            <w:vAlign w:val="center"/>
          </w:tcPr>
          <w:p>
            <w:pPr>
              <w:spacing w:after="0"/>
            </w:pPr>
            <w:r>
              <w:rPr>
                <w:sz w:val="19"/>
              </w:rPr>
              <w:t>Costos</w:t>
            </w:r>
          </w:p>
        </w:tc>
        <w:tc>
          <w:tcPr>
            <w:tcW w:type="dxa" w:w="3096"/>
            <w:tcMar>
              <w:top w:w="110" w:type="dxa"/>
              <w:start w:w="110" w:type="dxa"/>
              <w:bottom w:w="110" w:type="dxa"/>
              <w:end w:w="110" w:type="dxa"/>
            </w:tcMar>
            <w:vAlign w:val="center"/>
          </w:tcPr>
          <w:p>
            <w:pPr>
              <w:spacing w:after="0"/>
            </w:pPr>
            <w:r>
              <w:rPr>
                <w:sz w:val="19"/>
              </w:rPr>
              <w:t>costs_log.jsonl</w:t>
            </w:r>
          </w:p>
        </w:tc>
        <w:tc>
          <w:tcPr>
            <w:tcW w:type="dxa" w:w="2088"/>
            <w:tcMar>
              <w:top w:w="110" w:type="dxa"/>
              <w:start w:w="110" w:type="dxa"/>
              <w:bottom w:w="110" w:type="dxa"/>
              <w:end w:w="110" w:type="dxa"/>
            </w:tcMar>
            <w:vAlign w:val="center"/>
          </w:tcPr>
          <w:p>
            <w:pPr>
              <w:spacing w:after="0"/>
            </w:pPr>
            <w:r>
              <w:rPr>
                <w:sz w:val="19"/>
              </w:rPr>
              <w:t>Según política contable</w:t>
            </w:r>
          </w:p>
        </w:tc>
        <w:tc>
          <w:tcPr>
            <w:tcW w:type="dxa" w:w="2664"/>
            <w:tcMar>
              <w:top w:w="110" w:type="dxa"/>
              <w:start w:w="110" w:type="dxa"/>
              <w:bottom w:w="110" w:type="dxa"/>
              <w:end w:w="110" w:type="dxa"/>
            </w:tcMar>
            <w:vAlign w:val="center"/>
          </w:tcPr>
          <w:p>
            <w:pPr>
              <w:spacing w:after="0"/>
            </w:pPr>
            <w:r>
              <w:rPr>
                <w:sz w:val="19"/>
              </w:rPr>
              <w:t>No registrar nombres de archivo</w:t>
            </w:r>
          </w:p>
        </w:tc>
      </w:tr>
    </w:tbl>
    <w:p>
      <w:pPr>
        <w:spacing w:after="40"/>
      </w:pPr>
    </w:p>
    <w:p>
      <w:pPr>
        <w:pStyle w:val="Heading1"/>
      </w:pPr>
      <w:r>
        <w:rPr>
          <w:color w:val="000000"/>
        </w:rPr>
        <w:t>Actualización del sistema</w:t>
      </w:r>
    </w:p>
    <w:p>
      <w:pPr>
        <w:spacing w:after="60"/>
        <w:ind w:left="403" w:hanging="403"/>
      </w:pPr>
      <w:r>
        <w:t>1. Confirmar que no haya una extracción en curso y cerrar PriceBot.</w:t>
      </w:r>
    </w:p>
    <w:p>
      <w:pPr>
        <w:spacing w:after="60"/>
        <w:ind w:left="403" w:hanging="403"/>
      </w:pPr>
      <w:r>
        <w:t>2. Respaldar pricebot\.env y pricebot\api\data\users.db en almacenamiento cifrado.</w:t>
      </w:r>
    </w:p>
    <w:p>
      <w:pPr>
        <w:spacing w:after="60"/>
        <w:ind w:left="403" w:hanging="403"/>
      </w:pPr>
      <w:r>
        <w:t>3. Ejecutar git status. No continuar si aparecen cambios no reconocidos.</w:t>
      </w:r>
    </w:p>
    <w:p>
      <w:pPr>
        <w:spacing w:after="60"/>
        <w:ind w:left="403" w:hanging="403"/>
      </w:pPr>
      <w:r>
        <w:t>4. Ejecutar git pull desde C:\Users\Soporte\Documents\AnalizadorPlanillas.</w:t>
      </w:r>
    </w:p>
    <w:p>
      <w:pPr>
        <w:spacing w:after="60"/>
        <w:ind w:left="403" w:hanging="403"/>
      </w:pPr>
      <w:r>
        <w:t>5. Si cambiaron dependencias, ejecutar instalar.bat.</w:t>
      </w:r>
    </w:p>
    <w:p>
      <w:pPr>
        <w:spacing w:after="60"/>
        <w:ind w:left="403" w:hanging="403"/>
      </w:pPr>
      <w:r>
        <w:t>6. Iniciar con C:\ProgramData\PriceBotTLS\INICIAR-PRICEBOT-SEGURO.bat y completar la lista de verificación posterior. Si se actualizó el instalador cliente, preparar y distribuir el acceso nuevo sin regenerar la CA.</w:t>
      </w:r>
    </w:p>
    <w:p>
      <w:pPr>
        <w:pStyle w:val="Heading1"/>
      </w:pPr>
      <w:r>
        <w:rPr>
          <w:color w:val="000000"/>
        </w:rPr>
        <w:t>Controles de seguridad implementados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cantSplit/>
        </w:trPr>
        <w:tc>
          <w:tcPr>
            <w:tcW w:type="dxa" w:w="2088"/>
            <w:shd w:fill="183B56"/>
            <w:tcMar>
              <w:top w:w="110" w:type="dxa"/>
              <w:start w:w="110" w:type="dxa"/>
              <w:bottom w:w="110" w:type="dxa"/>
              <w:end w:w="110" w:type="dxa"/>
            </w:tcMar>
            <w:vAlign w:val="center"/>
          </w:tcPr>
          <w:p>
            <w:pPr>
              <w:jc w:val="center"/>
            </w:pPr>
            <w:r>
              <w:rPr>
                <w:b/>
                <w:color w:val="FFFFFF"/>
                <w:sz w:val="19"/>
              </w:rPr>
              <w:t>Riesgo</w:t>
            </w:r>
          </w:p>
        </w:tc>
        <w:tc>
          <w:tcPr>
            <w:tcW w:type="dxa" w:w="4680"/>
            <w:shd w:fill="183B56"/>
            <w:tcMar>
              <w:top w:w="110" w:type="dxa"/>
              <w:start w:w="110" w:type="dxa"/>
              <w:bottom w:w="110" w:type="dxa"/>
              <w:end w:w="110" w:type="dxa"/>
            </w:tcMar>
            <w:vAlign w:val="center"/>
          </w:tcPr>
          <w:p>
            <w:pPr>
              <w:jc w:val="center"/>
            </w:pPr>
            <w:r>
              <w:rPr>
                <w:b/>
                <w:color w:val="FFFFFF"/>
                <w:sz w:val="19"/>
              </w:rPr>
              <w:t>Control actual</w:t>
            </w:r>
          </w:p>
        </w:tc>
        <w:tc>
          <w:tcPr>
            <w:tcW w:type="dxa" w:w="2808"/>
            <w:shd w:fill="183B56"/>
            <w:tcMar>
              <w:top w:w="110" w:type="dxa"/>
              <w:start w:w="110" w:type="dxa"/>
              <w:bottom w:w="110" w:type="dxa"/>
              <w:end w:w="110" w:type="dxa"/>
            </w:tcMar>
            <w:vAlign w:val="center"/>
          </w:tcPr>
          <w:p>
            <w:pPr>
              <w:jc w:val="center"/>
            </w:pPr>
            <w:r>
              <w:rPr>
                <w:b/>
                <w:color w:val="FFFFFF"/>
                <w:sz w:val="19"/>
              </w:rPr>
              <w:t>Verificación administrativa</w:t>
            </w:r>
          </w:p>
        </w:tc>
      </w:tr>
      <w:tr>
        <w:trPr>
          <w:cantSplit/>
        </w:trPr>
        <w:tc>
          <w:tcPr>
            <w:tcW w:type="dxa" w:w="2088"/>
            <w:tcMar>
              <w:top w:w="110" w:type="dxa"/>
              <w:start w:w="110" w:type="dxa"/>
              <w:bottom w:w="110" w:type="dxa"/>
              <w:end w:w="110" w:type="dxa"/>
            </w:tcMar>
            <w:vAlign w:val="center"/>
          </w:tcPr>
          <w:p>
            <w:pPr>
              <w:spacing w:after="0"/>
            </w:pPr>
            <w:r>
              <w:rPr>
                <w:sz w:val="19"/>
              </w:rPr>
              <w:t>Acceso no autorizado</w:t>
            </w:r>
          </w:p>
        </w:tc>
        <w:tc>
          <w:tcPr>
            <w:tcW w:type="dxa" w:w="4680"/>
            <w:tcMar>
              <w:top w:w="110" w:type="dxa"/>
              <w:start w:w="110" w:type="dxa"/>
              <w:bottom w:w="110" w:type="dxa"/>
              <w:end w:w="110" w:type="dxa"/>
            </w:tcMar>
            <w:vAlign w:val="center"/>
          </w:tcPr>
          <w:p>
            <w:pPr>
              <w:spacing w:after="0"/>
            </w:pPr>
            <w:r>
              <w:rPr>
                <w:sz w:val="19"/>
              </w:rPr>
              <w:t>Usuarios confirmados, sesiones firmadas, límite de intentos y administración solo local</w:t>
            </w:r>
          </w:p>
        </w:tc>
        <w:tc>
          <w:tcPr>
            <w:tcW w:type="dxa" w:w="2808"/>
            <w:tcMar>
              <w:top w:w="110" w:type="dxa"/>
              <w:start w:w="110" w:type="dxa"/>
              <w:bottom w:w="110" w:type="dxa"/>
              <w:end w:w="110" w:type="dxa"/>
            </w:tcMar>
            <w:vAlign w:val="center"/>
          </w:tcPr>
          <w:p>
            <w:pPr>
              <w:spacing w:after="0"/>
            </w:pPr>
            <w:r>
              <w:rPr>
                <w:sz w:val="19"/>
              </w:rPr>
              <w:t>Revisar usuarios mensualmente</w:t>
            </w:r>
          </w:p>
        </w:tc>
      </w:tr>
      <w:tr>
        <w:trPr>
          <w:cantSplit/>
        </w:trPr>
        <w:tc>
          <w:tcPr>
            <w:tcW w:type="dxa" w:w="2088"/>
            <w:tcMar>
              <w:top w:w="110" w:type="dxa"/>
              <w:start w:w="110" w:type="dxa"/>
              <w:bottom w:w="110" w:type="dxa"/>
              <w:end w:w="110" w:type="dxa"/>
            </w:tcMar>
            <w:vAlign w:val="center"/>
            <w:shd w:fill="EAF3F8"/>
          </w:tcPr>
          <w:p>
            <w:pPr>
              <w:spacing w:after="0"/>
            </w:pPr>
            <w:r>
              <w:rPr>
                <w:sz w:val="19"/>
              </w:rPr>
              <w:t>Sesiones antiguas</w:t>
            </w:r>
          </w:p>
        </w:tc>
        <w:tc>
          <w:tcPr>
            <w:tcW w:type="dxa" w:w="4680"/>
            <w:tcMar>
              <w:top w:w="110" w:type="dxa"/>
              <w:start w:w="110" w:type="dxa"/>
              <w:bottom w:w="110" w:type="dxa"/>
              <w:end w:w="110" w:type="dxa"/>
            </w:tcMar>
            <w:vAlign w:val="center"/>
            <w:shd w:fill="EAF3F8"/>
          </w:tcPr>
          <w:p>
            <w:pPr>
              <w:spacing w:after="0"/>
            </w:pPr>
            <w:r>
              <w:rPr>
                <w:sz w:val="19"/>
              </w:rPr>
              <w:t>Cambio de contraseña, estado o eliminación revoca sesiones</w:t>
            </w:r>
          </w:p>
        </w:tc>
        <w:tc>
          <w:tcPr>
            <w:tcW w:type="dxa" w:w="2808"/>
            <w:tcMar>
              <w:top w:w="110" w:type="dxa"/>
              <w:start w:w="110" w:type="dxa"/>
              <w:bottom w:w="110" w:type="dxa"/>
              <w:end w:w="110" w:type="dxa"/>
            </w:tcMar>
            <w:vAlign w:val="center"/>
            <w:shd w:fill="EAF3F8"/>
          </w:tcPr>
          <w:p>
            <w:pPr>
              <w:spacing w:after="0"/>
            </w:pPr>
            <w:r>
              <w:rPr>
                <w:sz w:val="19"/>
              </w:rPr>
              <w:t>Probar login después de cada cambio</w:t>
            </w:r>
          </w:p>
        </w:tc>
      </w:tr>
      <w:tr>
        <w:trPr>
          <w:cantSplit/>
        </w:trPr>
        <w:tc>
          <w:tcPr>
            <w:tcW w:type="dxa" w:w="2088"/>
            <w:tcMar>
              <w:top w:w="110" w:type="dxa"/>
              <w:start w:w="110" w:type="dxa"/>
              <w:bottom w:w="110" w:type="dxa"/>
              <w:end w:w="110" w:type="dxa"/>
            </w:tcMar>
            <w:vAlign w:val="center"/>
          </w:tcPr>
          <w:p>
            <w:pPr>
              <w:spacing w:after="0"/>
            </w:pPr>
            <w:r>
              <w:rPr>
                <w:sz w:val="19"/>
              </w:rPr>
              <w:t>Archivo falso o malicioso</w:t>
            </w:r>
          </w:p>
        </w:tc>
        <w:tc>
          <w:tcPr>
            <w:tcW w:type="dxa" w:w="4680"/>
            <w:tcMar>
              <w:top w:w="110" w:type="dxa"/>
              <w:start w:w="110" w:type="dxa"/>
              <w:bottom w:w="110" w:type="dxa"/>
              <w:end w:w="110" w:type="dxa"/>
            </w:tcMar>
            <w:vAlign w:val="center"/>
          </w:tcPr>
          <w:p>
            <w:pPr>
              <w:spacing w:after="0"/>
            </w:pPr>
            <w:r>
              <w:rPr>
                <w:sz w:val="19"/>
              </w:rPr>
              <w:t>Extensiones permitidas, firmas, ZIP Office, rutas, cifrado, tamaño, páginas y píxeles</w:t>
            </w:r>
          </w:p>
        </w:tc>
        <w:tc>
          <w:tcPr>
            <w:tcW w:type="dxa" w:w="2808"/>
            <w:tcMar>
              <w:top w:w="110" w:type="dxa"/>
              <w:start w:w="110" w:type="dxa"/>
              <w:bottom w:w="110" w:type="dxa"/>
              <w:end w:w="110" w:type="dxa"/>
            </w:tcMar>
            <w:vAlign w:val="center"/>
          </w:tcPr>
          <w:p>
            <w:pPr>
              <w:spacing w:after="0"/>
            </w:pPr>
            <w:r>
              <w:rPr>
                <w:sz w:val="19"/>
              </w:rPr>
              <w:t>Rechazar archivos inesperados</w:t>
            </w:r>
          </w:p>
        </w:tc>
      </w:tr>
      <w:tr>
        <w:trPr>
          <w:cantSplit/>
        </w:trPr>
        <w:tc>
          <w:tcPr>
            <w:tcW w:type="dxa" w:w="2088"/>
            <w:tcMar>
              <w:top w:w="110" w:type="dxa"/>
              <w:start w:w="110" w:type="dxa"/>
              <w:bottom w:w="110" w:type="dxa"/>
              <w:end w:w="110" w:type="dxa"/>
            </w:tcMar>
            <w:vAlign w:val="center"/>
            <w:shd w:fill="EAF3F8"/>
          </w:tcPr>
          <w:p>
            <w:pPr>
              <w:spacing w:after="0"/>
            </w:pPr>
            <w:r>
              <w:rPr>
                <w:sz w:val="19"/>
              </w:rPr>
              <w:t>Fórmulas al exportar</w:t>
            </w:r>
          </w:p>
        </w:tc>
        <w:tc>
          <w:tcPr>
            <w:tcW w:type="dxa" w:w="4680"/>
            <w:tcMar>
              <w:top w:w="110" w:type="dxa"/>
              <w:start w:w="110" w:type="dxa"/>
              <w:bottom w:w="110" w:type="dxa"/>
              <w:end w:w="110" w:type="dxa"/>
            </w:tcMar>
            <w:vAlign w:val="center"/>
            <w:shd w:fill="EAF3F8"/>
          </w:tcPr>
          <w:p>
            <w:pPr>
              <w:spacing w:after="0"/>
            </w:pPr>
            <w:r>
              <w:rPr>
                <w:sz w:val="19"/>
              </w:rPr>
              <w:t>Neutralización de fórmulas en XLS y XLSX</w:t>
            </w:r>
          </w:p>
        </w:tc>
        <w:tc>
          <w:tcPr>
            <w:tcW w:type="dxa" w:w="2808"/>
            <w:tcMar>
              <w:top w:w="110" w:type="dxa"/>
              <w:start w:w="110" w:type="dxa"/>
              <w:bottom w:w="110" w:type="dxa"/>
              <w:end w:w="110" w:type="dxa"/>
            </w:tcMar>
            <w:vAlign w:val="center"/>
            <w:shd w:fill="EAF3F8"/>
          </w:tcPr>
          <w:p>
            <w:pPr>
              <w:spacing w:after="0"/>
            </w:pPr>
            <w:r>
              <w:rPr>
                <w:sz w:val="19"/>
              </w:rPr>
              <w:t>Abrir muestra en entorno controlado</w:t>
            </w:r>
          </w:p>
        </w:tc>
      </w:tr>
      <w:tr>
        <w:trPr>
          <w:cantSplit/>
        </w:trPr>
        <w:tc>
          <w:tcPr>
            <w:tcW w:type="dxa" w:w="2088"/>
            <w:tcMar>
              <w:top w:w="110" w:type="dxa"/>
              <w:start w:w="110" w:type="dxa"/>
              <w:bottom w:w="110" w:type="dxa"/>
              <w:end w:w="110" w:type="dxa"/>
            </w:tcMar>
            <w:vAlign w:val="center"/>
          </w:tcPr>
          <w:p>
            <w:pPr>
              <w:spacing w:after="0"/>
            </w:pPr>
            <w:r>
              <w:rPr>
                <w:sz w:val="19"/>
              </w:rPr>
              <w:t>Persistencia de información</w:t>
            </w:r>
          </w:p>
        </w:tc>
        <w:tc>
          <w:tcPr>
            <w:tcW w:type="dxa" w:w="4680"/>
            <w:tcMar>
              <w:top w:w="110" w:type="dxa"/>
              <w:start w:w="110" w:type="dxa"/>
              <w:bottom w:w="110" w:type="dxa"/>
              <w:end w:w="110" w:type="dxa"/>
            </w:tcMar>
            <w:vAlign w:val="center"/>
          </w:tcPr>
          <w:p>
            <w:pPr>
              <w:spacing w:after="0"/>
            </w:pPr>
            <w:r>
              <w:rPr>
                <w:sz w:val="19"/>
              </w:rPr>
              <w:t>Historial, nombres y caché desactivados por defecto</w:t>
            </w:r>
          </w:p>
        </w:tc>
        <w:tc>
          <w:tcPr>
            <w:tcW w:type="dxa" w:w="2808"/>
            <w:tcMar>
              <w:top w:w="110" w:type="dxa"/>
              <w:start w:w="110" w:type="dxa"/>
              <w:bottom w:w="110" w:type="dxa"/>
              <w:end w:w="110" w:type="dxa"/>
            </w:tcMar>
            <w:vAlign w:val="center"/>
          </w:tcPr>
          <w:p>
            <w:pPr>
              <w:spacing w:after="0"/>
            </w:pPr>
            <w:r>
              <w:rPr>
                <w:sz w:val="19"/>
              </w:rPr>
              <w:t>Verificar .env después de actualizaciones</w:t>
            </w:r>
          </w:p>
        </w:tc>
      </w:tr>
      <w:tr>
        <w:trPr>
          <w:cantSplit/>
        </w:trPr>
        <w:tc>
          <w:tcPr>
            <w:tcW w:type="dxa" w:w="2088"/>
            <w:tcMar>
              <w:top w:w="110" w:type="dxa"/>
              <w:start w:w="110" w:type="dxa"/>
              <w:bottom w:w="110" w:type="dxa"/>
              <w:end w:w="110" w:type="dxa"/>
            </w:tcMar>
            <w:vAlign w:val="center"/>
            <w:shd w:fill="EAF3F8"/>
          </w:tcPr>
          <w:p>
            <w:pPr>
              <w:spacing w:after="0"/>
            </w:pPr>
            <w:r>
              <w:rPr>
                <w:sz w:val="19"/>
              </w:rPr>
              <w:t>Salida a terceros</w:t>
            </w:r>
          </w:p>
        </w:tc>
        <w:tc>
          <w:tcPr>
            <w:tcW w:type="dxa" w:w="4680"/>
            <w:tcMar>
              <w:top w:w="110" w:type="dxa"/>
              <w:start w:w="110" w:type="dxa"/>
              <w:bottom w:w="110" w:type="dxa"/>
              <w:end w:w="110" w:type="dxa"/>
            </w:tcMar>
            <w:vAlign w:val="center"/>
            <w:shd w:fill="EAF3F8"/>
          </w:tcPr>
          <w:p>
            <w:pPr>
              <w:spacing w:after="0"/>
            </w:pPr>
            <w:r>
              <w:rPr>
                <w:sz w:val="19"/>
              </w:rPr>
              <w:t>IA externa desactivada por defecto</w:t>
            </w:r>
          </w:p>
        </w:tc>
        <w:tc>
          <w:tcPr>
            <w:tcW w:type="dxa" w:w="2808"/>
            <w:tcMar>
              <w:top w:w="110" w:type="dxa"/>
              <w:start w:w="110" w:type="dxa"/>
              <w:bottom w:w="110" w:type="dxa"/>
              <w:end w:w="110" w:type="dxa"/>
            </w:tcMar>
            <w:vAlign w:val="center"/>
            <w:shd w:fill="EAF3F8"/>
          </w:tcPr>
          <w:p>
            <w:pPr>
              <w:spacing w:after="0"/>
            </w:pPr>
            <w:r>
              <w:rPr>
                <w:sz w:val="19"/>
              </w:rPr>
              <w:t>Autorizar por clasificación de datos</w:t>
            </w:r>
          </w:p>
        </w:tc>
      </w:tr>
      <w:tr>
        <w:trPr>
          <w:cantSplit/>
        </w:trPr>
        <w:tc>
          <w:tcPr>
            <w:tcW w:type="dxa" w:w="2088"/>
            <w:tcMar>
              <w:top w:w="110" w:type="dxa"/>
              <w:start w:w="110" w:type="dxa"/>
              <w:bottom w:w="110" w:type="dxa"/>
              <w:end w:w="110" w:type="dxa"/>
            </w:tcMar>
            <w:vAlign w:val="center"/>
          </w:tcPr>
          <w:p>
            <w:pPr>
              <w:spacing w:after="0"/>
            </w:pPr>
            <w:r>
              <w:rPr>
                <w:sz w:val="19"/>
              </w:rPr>
              <w:t>Exposición web</w:t>
            </w:r>
          </w:p>
        </w:tc>
        <w:tc>
          <w:tcPr>
            <w:tcW w:type="dxa" w:w="4680"/>
            <w:tcMar>
              <w:top w:w="110" w:type="dxa"/>
              <w:start w:w="110" w:type="dxa"/>
              <w:bottom w:w="110" w:type="dxa"/>
              <w:end w:w="110" w:type="dxa"/>
            </w:tcMar>
            <w:vAlign w:val="center"/>
          </w:tcPr>
          <w:p>
            <w:pPr>
              <w:spacing w:after="0"/>
            </w:pPr>
            <w:r>
              <w:rPr>
                <w:sz w:val="19"/>
              </w:rPr>
              <w:t>CORS, validación de origen, CSP y cabeceras de seguridad</w:t>
            </w:r>
          </w:p>
        </w:tc>
        <w:tc>
          <w:tcPr>
            <w:tcW w:type="dxa" w:w="2808"/>
            <w:tcMar>
              <w:top w:w="110" w:type="dxa"/>
              <w:start w:w="110" w:type="dxa"/>
              <w:bottom w:w="110" w:type="dxa"/>
              <w:end w:w="110" w:type="dxa"/>
            </w:tcMar>
            <w:vAlign w:val="center"/>
          </w:tcPr>
          <w:p>
            <w:pPr>
              <w:spacing w:after="0"/>
            </w:pPr>
            <w:r>
              <w:rPr>
                <w:sz w:val="19"/>
              </w:rPr>
              <w:t>No ampliar orígenes innecesariamente</w:t>
            </w:r>
          </w:p>
        </w:tc>
      </w:tr>
    </w:tbl>
    <w:p>
      <w:pPr>
        <w:spacing w:after="40"/>
      </w:pPr>
    </w:p>
    <w:p>
      <w:pPr>
        <w:pStyle w:val="Heading1"/>
      </w:pPr>
      <w:r>
        <w:rPr>
          <w:color w:val="000000"/>
        </w:rPr>
        <w:t>Riesgos pendientes y mejoras recomendadas</w:t>
      </w:r>
    </w:p>
    <w:p>
      <w:pPr>
        <w:pStyle w:val="ListBullet"/>
      </w:pPr>
      <w:r>
        <w:t>No usar HTTP remoto: transmite credenciales, sesiones y documentos sin cifrado. Mantener PRICEBOT_REQUIRE_HTTPS=1 y PRICEBOT_COOKIE_SECURE=1; no ignorar alertas de certificados.</w:t>
      </w:r>
    </w:p>
    <w:p>
      <w:pPr>
        <w:pStyle w:val="ListBullet"/>
      </w:pPr>
      <w:r>
        <w:t>Configurar respaldo cifrado de users.db y una custodia formal de .env.</w:t>
      </w:r>
    </w:p>
    <w:p>
      <w:pPr>
        <w:pStyle w:val="ListBullet"/>
      </w:pPr>
      <w:r>
        <w:t>Asignar propietario y suplente para Claude Platform, Gmail SMTP, GitHub y la PC servidor.</w:t>
      </w:r>
    </w:p>
    <w:p>
      <w:pPr>
        <w:pStyle w:val="ListBullet"/>
      </w:pPr>
      <w:r>
        <w:t>Definir política de retención, clasificación y eliminación de documentos procesados.</w:t>
      </w:r>
    </w:p>
    <w:p>
      <w:pPr>
        <w:pStyle w:val="ListBullet"/>
      </w:pPr>
      <w:r>
        <w:t>Revisar trimestralmente usuarios, claves, créditos, firewall, actualizaciones y registros de costos.</w:t>
      </w:r>
    </w:p>
    <w:p>
      <w:pPr>
        <w:pStyle w:val="Heading1"/>
      </w:pPr>
      <w:r>
        <w:rPr>
          <w:color w:val="000000"/>
        </w:rPr>
        <w:t>Respuesta ante incidentes</w:t>
      </w:r>
    </w:p>
    <w:p>
      <w:pPr>
        <w:spacing w:after="60"/>
        <w:ind w:left="403" w:hanging="403"/>
      </w:pPr>
      <w:r>
        <w:t>1. Detener PriceBot y desconectar el servidor de la red si hay acceso no autorizado o fuga de documentos.</w:t>
      </w:r>
    </w:p>
    <w:p>
      <w:pPr>
        <w:spacing w:after="60"/>
        <w:ind w:left="403" w:hanging="403"/>
      </w:pPr>
      <w:r>
        <w:t>2. Deshabilitar o eliminar los usuarios afectados.</w:t>
      </w:r>
    </w:p>
    <w:p>
      <w:pPr>
        <w:spacing w:after="60"/>
        <w:ind w:left="403" w:hanging="403"/>
      </w:pPr>
      <w:r>
        <w:t>3. Rotar ANTHROPIC_API_KEY, contraseña de aplicación Gmail y PRICEBOT_SESSION_SECRET cuando corresponda.</w:t>
      </w:r>
    </w:p>
    <w:p>
      <w:pPr>
        <w:spacing w:after="60"/>
        <w:ind w:left="403" w:hanging="403"/>
      </w:pPr>
      <w:r>
        <w:t>4. Revisar actividad de Claude Platform, Google, GitHub y Windows.</w:t>
      </w:r>
    </w:p>
    <w:p>
      <w:pPr>
        <w:spacing w:after="60"/>
        <w:ind w:left="403" w:hanging="403"/>
      </w:pPr>
      <w:r>
        <w:t>5. Preservar registros necesarios para investigación sin copiar documentos confidenciales a medios no aprobados.</w:t>
      </w:r>
    </w:p>
    <w:p>
      <w:pPr>
        <w:spacing w:after="60"/>
        <w:ind w:left="403" w:hanging="403"/>
      </w:pPr>
      <w:r>
        <w:t>6. Documentar fecha, alcance, archivos involucrados, acciones y responsable del cierre.</w:t>
      </w:r>
    </w:p>
    <w:p>
      <w:pPr>
        <w:pStyle w:val="Heading2"/>
      </w:pPr>
      <w:r>
        <w:rPr>
          <w:color w:val="000000"/>
        </w:rPr>
        <w:t>Cambios documentados en esta edición</w:t>
      </w:r>
    </w:p>
    <w:p>
      <w:pPr>
        <w:pStyle w:val="ListBullet"/>
      </w:pPr>
      <w:r>
        <w:t>HTTPS obligatorio en la LAN, certificado para IP y localhost y arranque protegido frente a procesos HTTP anteriores.</w:t>
      </w:r>
    </w:p>
    <w:p>
      <w:pPr>
        <w:pStyle w:val="ListBullet"/>
      </w:pPr>
      <w:r>
        <w:t>API local con el mismo protocolo que el frontend, orígenes HTTPS previstos y administración de usuarios solo desde loopback.</w:t>
      </w:r>
    </w:p>
    <w:p>
      <w:pPr>
        <w:pStyle w:val="ListBullet"/>
      </w:pPr>
      <w:r>
        <w:t>Confianza por usuario Windows sin permisos de administrador, más alternativa de confianza para toda la PC con TI.</w:t>
      </w:r>
    </w:p>
    <w:p>
      <w:pPr>
        <w:pStyle w:val="ListBullet"/>
      </w:pPr>
      <w:r>
        <w:t>Archivo de acceso independiente con CA pública y huella incorporadas, comprobación automática y generación de paquetes sin renovar certificados.</w:t>
      </w:r>
    </w:p>
    <w:p>
      <w:pPr>
        <w:pStyle w:val="ListBullet"/>
      </w:pPr>
      <w:r>
        <w:t>Detalles técnicos y pruebas en Documentacion\Cambios_TLS_LAN.md. No se incorporan contraseñas, claves API ni claves privadas al manual.</w:t>
      </w:r>
    </w:p>
    <w:p>
      <w:pPr>
        <w:pStyle w:val="Heading1"/>
        <w:pageBreakBefore/>
      </w:pPr>
      <w:r>
        <w:rPr>
          <w:color w:val="000000"/>
        </w:rPr>
        <w:t>Lista de verificación posterior a una actualización</w:t>
      </w:r>
    </w:p>
    <w:p>
      <w:pPr>
        <w:pStyle w:val="ListBullet"/>
        <w:spacing w:after="60" w:line="240" w:lineRule="auto"/>
      </w:pPr>
      <w:r>
        <w:t>☐ El lanzador inicia backend y frontend sin errores.</w:t>
      </w:r>
    </w:p>
    <w:p>
      <w:pPr>
        <w:pStyle w:val="ListBullet"/>
        <w:spacing w:after="60" w:line="240" w:lineRule="auto"/>
      </w:pPr>
      <w:r>
        <w:t>☐ La URL local entra como Administrador local sin solicitar contraseña.</w:t>
      </w:r>
    </w:p>
    <w:p>
      <w:pPr>
        <w:pStyle w:val="ListBullet"/>
        <w:spacing w:after="60" w:line="240" w:lineRule="auto"/>
      </w:pPr>
      <w:r>
        <w:t>☐ La URL HTTPS abre sin alertas en cada PC y el correo de confirmación usa ese mismo nombre.</w:t>
      </w:r>
    </w:p>
    <w:p>
      <w:pPr>
        <w:pStyle w:val="ListBullet"/>
        <w:spacing w:after="60" w:line="240" w:lineRule="auto"/>
      </w:pPr>
      <w:r>
        <w:t>☐ Crear, modificar, deshabilitar, habilitar y eliminar usuarios funciona.</w:t>
      </w:r>
    </w:p>
    <w:p>
      <w:pPr>
        <w:pStyle w:val="ListBullet"/>
        <w:spacing w:after="60" w:line="240" w:lineRule="auto"/>
      </w:pPr>
      <w:r>
        <w:t>☐ Un archivo pequeño válido se procesa y descarga correctamente.</w:t>
      </w:r>
    </w:p>
    <w:p>
      <w:pPr>
        <w:pStyle w:val="ListBullet"/>
        <w:spacing w:after="60" w:line="240" w:lineRule="auto"/>
      </w:pPr>
      <w:r>
        <w:t>☐ Un archivo con extensión falsa o tamaño excesivo es rechazado.</w:t>
      </w:r>
    </w:p>
    <w:p>
      <w:pPr>
        <w:pStyle w:val="ListBullet"/>
        <w:spacing w:after="60" w:line="240" w:lineRule="auto"/>
      </w:pPr>
      <w:r>
        <w:t>☐ La salida coincide con una muestra del documento original.</w:t>
      </w:r>
    </w:p>
    <w:p>
      <w:pPr>
        <w:pStyle w:val="ListBullet"/>
        <w:spacing w:after="60" w:line="240" w:lineRule="auto"/>
      </w:pPr>
      <w:r>
        <w:t>☐ IA externa solo con saldo aprobado; Git sin documentos ni secretos.</w:t>
      </w:r>
    </w:p>
    <w:p>
      <w:pPr>
        <w:pStyle w:val="ListBullet"/>
        <w:spacing w:after="60"/>
      </w:pPr>
      <w:r>
        <w:t>☐ Desde una PC autorizada, /health responde status ok por HTTPS sin advertencias.</w:t>
      </w:r>
    </w:p>
    <w:p>
      <w:pPr>
        <w:pStyle w:val="ListBullet"/>
        <w:spacing w:after="60"/>
      </w:pPr>
      <w:r>
        <w:t>☐ Una conexión HTTP remota se rechaza; no se aceptaron excepciones del navegador.</w:t>
      </w:r>
    </w:p>
    <w:p>
      <w:pPr>
        <w:pStyle w:val="ListBullet"/>
      </w:pPr>
      <w:r>
        <w:t>☐ El archivo de acceso independiente configura el usuario Windows y verifica HTTPS sin pedir administrador.</w:t>
      </w:r>
    </w:p>
    <w:sectPr w:rsidR="00FC693F" w:rsidRPr="0006063C" w:rsidSect="00034616">
      <w:footerReference w:type="default" r:id="rId18"/>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Manual de administración y operación de PriceBot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20"/>
    </w:rPr>
  </w:style>
  <w:style w:type="paragraph" w:styleId="ListBullet2">
    <w:name w:val="List Bullet 2"/>
    <w:basedOn w:val="Normal"/>
    <w:uiPriority w:val="99"/>
    <w:unhideWhenUsed/>
    <w:rsid w:val="00326F90"/>
    <w:pPr>
      <w:numPr>
        <w:numId w:val="2"/>
      </w:numPr>
      <w:spacing w:after="40"/>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127.0.0.1:3000" TargetMode="External"/><Relationship Id="rId10" Type="http://schemas.openxmlformats.org/officeDocument/2006/relationships/hyperlink" Target="http://192.168.190.146:3000" TargetMode="External"/><Relationship Id="rId11" Type="http://schemas.openxmlformats.org/officeDocument/2006/relationships/hyperlink" Target="http://192.168.190.146:8000/health" TargetMode="External"/><Relationship Id="rId12" Type="http://schemas.openxmlformats.org/officeDocument/2006/relationships/hyperlink" Target="https://github.com/GaryPoui/AnalizadorPlanillas" TargetMode="External"/><Relationship Id="rId13" Type="http://schemas.openxmlformats.org/officeDocument/2006/relationships/hyperlink" Target="https://platform.claude.com/settings/keys" TargetMode="External"/><Relationship Id="rId14" Type="http://schemas.openxmlformats.org/officeDocument/2006/relationships/hyperlink" Target="https://platform.claude.com/settings/billing" TargetMode="External"/><Relationship Id="rId15" Type="http://schemas.openxmlformats.org/officeDocument/2006/relationships/hyperlink" Target="https://platform.claude.com/usage" TargetMode="External"/><Relationship Id="rId16" Type="http://schemas.openxmlformats.org/officeDocument/2006/relationships/hyperlink" Target="https://status.anthropic.com" TargetMode="External"/><Relationship Id="rId17" Type="http://schemas.openxmlformats.org/officeDocument/2006/relationships/hyperlink" Target="https://myaccount.google.com/apppasswords" TargetMode="External"/><Relationship Id="rId18" Type="http://schemas.openxmlformats.org/officeDocument/2006/relationships/footer" Target="footer1.xml"/><Relationship Id="rId19" Type="http://schemas.openxmlformats.org/officeDocument/2006/relationships/hyperlink" Target="https://192.168.190.146:3000" TargetMode="External"/><Relationship Id="rId20" Type="http://schemas.openxmlformats.org/officeDocument/2006/relationships/hyperlink" Target="https://192.168.190.146:8000/health" TargetMode="External"/><Relationship Id="rId21" Type="http://schemas.openxmlformats.org/officeDocument/2006/relationships/hyperlink" Target="https://127.0.0.1:3000" TargetMode="External"/><Relationship Id="rId22" Type="http://schemas.openxmlformats.org/officeDocument/2006/relationships/hyperlink" Target="https://github.com/GaryPoui/AnalizadorPlanillas/blob/main/Documentacion/CONFIGURAR-PRICEBOT-LAN.b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administración y operación de PriceBot</dc:title>
  <dc:subject>Operación, usuarios, accesos, tokens, créditos y seguridad</dc:subject>
  <dc:creator>Área de Administración</dc:creator>
  <cp:keywords>PriceBot administración seguridad usuarios Anthropic</cp:keywords>
  <dc:description>generated by python-docx</dc:description>
  <cp:lastModifiedBy/>
  <cp:revision>1</cp:revision>
  <dcterms:created xsi:type="dcterms:W3CDTF">2013-12-23T23:15:00Z</dcterms:created>
  <dcterms:modified xsi:type="dcterms:W3CDTF">2013-12-23T23:15:00Z</dcterms:modified>
  <cp:category/>
</cp:coreProperties>
</file>