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Manual de administración y operación de PriceBot</w:t>
      </w:r>
    </w:p>
    <w:p>
      <w:pPr>
        <w:spacing w:after="360"/>
      </w:pPr>
      <w:r>
        <w:rPr>
          <w:b/>
        </w:rPr>
        <w:t>Guía de puesta en marcha seguridad usuarios tokens créditos y uso diario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val="true"/>
          <w:cantSplit/>
        </w:trPr>
        <w:tc>
          <w:tcPr>
            <w:tcW w:type="dxa" w:w="2376"/>
            <w:shd w:fill="183B56"/>
            <w:tcMar>
              <w:top w:w="110" w:type="dxa"/>
              <w:start w:w="110" w:type="dxa"/>
              <w:bottom w:w="110" w:type="dxa"/>
              <w:end w:w="110" w:type="dxa"/>
            </w:tcMar>
            <w:vAlign w:val="center"/>
          </w:tcPr>
          <w:p>
            <w:pPr>
              <w:jc w:val="center"/>
            </w:pPr>
            <w:r>
              <w:rPr>
                <w:b/>
                <w:color w:val="FFFFFF"/>
                <w:sz w:val="19"/>
              </w:rPr>
              <w:t>Dato</w:t>
            </w:r>
          </w:p>
        </w:tc>
        <w:tc>
          <w:tcPr>
            <w:tcW w:type="dxa" w:w="7272"/>
            <w:shd w:fill="183B56"/>
            <w:tcMar>
              <w:top w:w="110" w:type="dxa"/>
              <w:start w:w="110" w:type="dxa"/>
              <w:bottom w:w="110" w:type="dxa"/>
              <w:end w:w="110" w:type="dxa"/>
            </w:tcMar>
            <w:vAlign w:val="center"/>
          </w:tcPr>
          <w:p>
            <w:pPr>
              <w:jc w:val="center"/>
            </w:pPr>
            <w:r>
              <w:rPr>
                <w:b/>
                <w:color w:val="FFFFFF"/>
                <w:sz w:val="19"/>
              </w:rPr>
              <w:t>Valor</w:t>
            </w:r>
          </w:p>
        </w:tc>
      </w:tr>
      <w:tr>
        <w:trPr>
          <w:cantSplit/>
        </w:trPr>
        <w:tc>
          <w:tcPr>
            <w:tcW w:type="dxa" w:w="2376"/>
            <w:tcMar>
              <w:top w:w="110" w:type="dxa"/>
              <w:start w:w="110" w:type="dxa"/>
              <w:bottom w:w="110" w:type="dxa"/>
              <w:end w:w="110" w:type="dxa"/>
            </w:tcMar>
            <w:vAlign w:val="center"/>
          </w:tcPr>
          <w:p>
            <w:pPr>
              <w:spacing w:after="0"/>
            </w:pPr>
            <w:r>
              <w:rPr>
                <w:sz w:val="19"/>
              </w:rPr>
              <w:t>Destinatario</w:t>
            </w:r>
          </w:p>
        </w:tc>
        <w:tc>
          <w:tcPr>
            <w:tcW w:type="dxa" w:w="7272"/>
            <w:tcMar>
              <w:top w:w="110" w:type="dxa"/>
              <w:start w:w="110" w:type="dxa"/>
              <w:bottom w:w="110" w:type="dxa"/>
              <w:end w:w="110" w:type="dxa"/>
            </w:tcMar>
            <w:vAlign w:val="center"/>
          </w:tcPr>
          <w:p>
            <w:pPr>
              <w:spacing w:after="0"/>
            </w:pPr>
            <w:r>
              <w:rPr>
                <w:sz w:val="19"/>
              </w:rPr>
              <w:t>Área de Administración y soporte técnico</w:t>
            </w:r>
          </w:p>
        </w:tc>
      </w:tr>
      <w:tr>
        <w:trPr>
          <w:cantSplit/>
        </w:trPr>
        <w:tc>
          <w:tcPr>
            <w:tcW w:type="dxa" w:w="2376"/>
            <w:tcMar>
              <w:top w:w="110" w:type="dxa"/>
              <w:start w:w="110" w:type="dxa"/>
              <w:bottom w:w="110" w:type="dxa"/>
              <w:end w:w="110" w:type="dxa"/>
            </w:tcMar>
            <w:vAlign w:val="center"/>
            <w:shd w:fill="EAF3F8"/>
          </w:tcPr>
          <w:p>
            <w:pPr>
              <w:spacing w:after="0"/>
            </w:pPr>
            <w:r>
              <w:rPr>
                <w:sz w:val="19"/>
              </w:rPr>
              <w:t>Sistema</w:t>
            </w:r>
          </w:p>
        </w:tc>
        <w:tc>
          <w:tcPr>
            <w:tcW w:type="dxa" w:w="7272"/>
            <w:tcMar>
              <w:top w:w="110" w:type="dxa"/>
              <w:start w:w="110" w:type="dxa"/>
              <w:bottom w:w="110" w:type="dxa"/>
              <w:end w:w="110" w:type="dxa"/>
            </w:tcMar>
            <w:vAlign w:val="center"/>
            <w:shd w:fill="EAF3F8"/>
          </w:tcPr>
          <w:p>
            <w:pPr>
              <w:spacing w:after="0"/>
            </w:pPr>
            <w:r>
              <w:rPr>
                <w:sz w:val="19"/>
              </w:rPr>
              <w:t>AnalizadorPlanillas PriceBot</w:t>
            </w:r>
          </w:p>
        </w:tc>
      </w:tr>
      <w:tr>
        <w:trPr>
          <w:cantSplit/>
        </w:trPr>
        <w:tc>
          <w:tcPr>
            <w:tcW w:type="dxa" w:w="2376"/>
            <w:tcMar>
              <w:top w:w="110" w:type="dxa"/>
              <w:start w:w="110" w:type="dxa"/>
              <w:bottom w:w="110" w:type="dxa"/>
              <w:end w:w="110" w:type="dxa"/>
            </w:tcMar>
            <w:vAlign w:val="center"/>
          </w:tcPr>
          <w:p>
            <w:pPr>
              <w:spacing w:after="0"/>
            </w:pPr>
            <w:r>
              <w:rPr>
                <w:sz w:val="19"/>
              </w:rPr>
              <w:t>Servidor de referencia</w:t>
            </w:r>
          </w:p>
        </w:tc>
        <w:tc>
          <w:tcPr>
            <w:tcW w:type="dxa" w:w="7272"/>
            <w:tcMar>
              <w:top w:w="110" w:type="dxa"/>
              <w:start w:w="110" w:type="dxa"/>
              <w:bottom w:w="110" w:type="dxa"/>
              <w:end w:w="110" w:type="dxa"/>
            </w:tcMar>
            <w:vAlign w:val="center"/>
          </w:tcPr>
          <w:p>
            <w:pPr>
              <w:spacing w:after="0"/>
            </w:pPr>
            <w:r>
              <w:rPr>
                <w:sz w:val="19"/>
              </w:rPr>
              <w:t>192.168.190.146 en la red 192.168.190.0/24</w:t>
            </w:r>
          </w:p>
        </w:tc>
      </w:tr>
      <w:tr>
        <w:trPr>
          <w:cantSplit/>
        </w:trPr>
        <w:tc>
          <w:tcPr>
            <w:tcW w:type="dxa" w:w="2376"/>
            <w:tcMar>
              <w:top w:w="110" w:type="dxa"/>
              <w:start w:w="110" w:type="dxa"/>
              <w:bottom w:w="110" w:type="dxa"/>
              <w:end w:w="110" w:type="dxa"/>
            </w:tcMar>
            <w:vAlign w:val="center"/>
            <w:shd w:fill="EAF3F8"/>
          </w:tcPr>
          <w:p>
            <w:pPr>
              <w:spacing w:after="0"/>
            </w:pPr>
            <w:r>
              <w:rPr>
                <w:sz w:val="19"/>
              </w:rPr>
              <w:t>Versión del manual</w:t>
            </w:r>
          </w:p>
        </w:tc>
        <w:tc>
          <w:tcPr>
            <w:tcW w:type="dxa" w:w="7272"/>
            <w:tcMar>
              <w:top w:w="110" w:type="dxa"/>
              <w:start w:w="110" w:type="dxa"/>
              <w:bottom w:w="110" w:type="dxa"/>
              <w:end w:w="110" w:type="dxa"/>
            </w:tcMar>
            <w:vAlign w:val="center"/>
            <w:shd w:fill="EAF3F8"/>
          </w:tcPr>
          <w:p>
            <w:pPr>
              <w:spacing w:after="0"/>
            </w:pPr>
            <w:r>
              <w:rPr>
                <w:sz w:val="19"/>
              </w:rPr>
              <w:t>6 de octubre de 2026</w:t>
            </w:r>
          </w:p>
        </w:tc>
      </w:tr>
      <w:tr>
        <w:trPr>
          <w:cantSplit/>
        </w:trPr>
        <w:tc>
          <w:tcPr>
            <w:tcW w:type="dxa" w:w="2376"/>
            <w:tcMar>
              <w:top w:w="110" w:type="dxa"/>
              <w:start w:w="110" w:type="dxa"/>
              <w:bottom w:w="110" w:type="dxa"/>
              <w:end w:w="110" w:type="dxa"/>
            </w:tcMar>
            <w:vAlign w:val="center"/>
          </w:tcPr>
          <w:p>
            <w:pPr>
              <w:spacing w:after="0"/>
            </w:pPr>
            <w:r>
              <w:rPr>
                <w:sz w:val="19"/>
              </w:rPr>
              <w:t>Repositorio</w:t>
            </w:r>
          </w:p>
        </w:tc>
        <w:tc>
          <w:tcPr>
            <w:tcW w:type="dxa" w:w="7272"/>
            <w:tcMar>
              <w:top w:w="110" w:type="dxa"/>
              <w:start w:w="110" w:type="dxa"/>
              <w:bottom w:w="110" w:type="dxa"/>
              <w:end w:w="110" w:type="dxa"/>
            </w:tcMar>
            <w:vAlign w:val="center"/>
          </w:tcPr>
          <w:p>
            <w:pPr>
              <w:spacing w:after="0"/>
            </w:pPr>
            <w:r>
              <w:rPr>
                <w:sz w:val="19"/>
              </w:rPr>
              <w:t>github.com/GaryPoui/AnalizadorPlanillas</w:t>
            </w:r>
          </w:p>
        </w:tc>
      </w:tr>
    </w:tbl>
    <w:p>
      <w:pPr>
        <w:spacing w:after="40"/>
      </w:pPr>
    </w:p>
    <w:p>
      <w:pPr>
        <w:pStyle w:val="Heading1"/>
      </w:pPr>
      <w:r>
        <w:t>Objetivo y alcance</w:t>
      </w:r>
    </w:p>
    <w:p>
      <w:r>
        <w:t>Este manual permite que el área de Administración opere PriceBot, gestione accesos, mantenga las cuentas externas y controle el consumo de créditos sin depender del equipo que desarrolló la aplicación. También establece qué datos pueden compartirse y qué secretos deben permanecer únicamente en la computadora servidor.</w:t>
      </w:r>
    </w:p>
    <w:p>
      <w:r>
        <w:t>PriceBot recibe listas de precios en PDF, Excel, CSV o imagen y genera una planilla normalizada. La extracción local no requiere créditos. El uso de IA externa es opcional y solo debe activarse cuando exista autorización para enviar contenido del documento a Anthropic.</w:t>
      </w:r>
    </w:p>
    <w:p>
      <w:pPr>
        <w:pStyle w:val="Heading1"/>
      </w:pPr>
      <w:r>
        <w:t>Estado operativo y decisión de seguridad</w:t>
      </w:r>
    </w:p>
    <w:p>
      <w:r>
        <w:t>El lanzador admite administración local por HTTP en localhost, pero exige HTTPS para conexiones desde otras computadoras. Para habilitar el acceso LAN se debe instalar un certificado confiable cuya SAN incluya la IP/nombre publicado y configurar TLS en frontend y API. HTTP no cifra credenciales ni documentos y no debe habilitarse para uso remoto.</w:t>
      </w:r>
    </w:p>
    <w:p>
      <w:pPr>
        <w:pStyle w:val="ListBullet"/>
      </w:pPr>
      <w:r>
        <w:t>No exponer los puertos 3000 u 8000 directamente a Internet.</w:t>
      </w:r>
    </w:p>
    <w:p>
      <w:pPr>
        <w:pStyle w:val="ListBullet"/>
      </w:pPr>
      <w:r>
        <w:t>Permitir acceso únicamente desde la subred autorizada y el perfil de red Privado.</w:t>
      </w:r>
    </w:p>
    <w:p>
      <w:pPr>
        <w:pStyle w:val="ListBullet"/>
      </w:pPr>
      <w:r>
        <w:t>Mantener PRICEBOT_ALLOW_EXTERNAL_AI en 0 si el documento no puede salir de la organización.</w:t>
      </w:r>
    </w:p>
    <w:p>
      <w:pPr>
        <w:pStyle w:val="ListBullet"/>
      </w:pPr>
      <w:r>
        <w:t>No enviar contraseñas, claves API ni contraseñas de aplicación por correo o chat.</w:t>
      </w:r>
    </w:p>
    <w:p>
      <w:pPr>
        <w:pStyle w:val="Heading1"/>
      </w:pPr>
      <w:r>
        <w:t>Requisitos para habilitar usuarios remotos</w:t>
      </w:r>
    </w:p>
    <w:p>
      <w:r>
        <w:t>La configuración actual requiere dos acciones de TI antes de habilitar la operación desde otras PCs: definir el secreto de sesión y configurar un certificado TLS confiable. Sin secreto, los usuarios remotos reciben un error de autenticación; sin TLS, el servidor bloquea HTTP remoto por seguridad.</w:t>
      </w:r>
    </w:p>
    <w:p>
      <w:pPr>
        <w:spacing w:after="60"/>
        <w:ind w:left="403" w:hanging="403"/>
      </w:pPr>
      <w:r>
        <w:t>1. En pricebot\.env, establecer PRICEBOT_SESSION_SECRET con una clave aleatoria nueva. En PowerShell generar bytes con RNG criptográfico; copiar el resultado directamente al .env y no compartirlo:</w:t>
      </w:r>
    </w:p>
    <w:p>
      <w:pPr>
        <w:ind w:left="432"/>
      </w:pPr>
      <w:r>
        <w:rPr>
          <w:rFonts w:ascii="Consolas" w:hAnsi="Consolas"/>
          <w:sz w:val="18"/>
        </w:rPr>
        <w:t>$bytes = New-Object byte[] 48</w:t>
        <w:br/>
        <w:t>$rng = [System.Security.Cryptography.RandomNumberGenerator]::Create()</w:t>
        <w:br/>
        <w:t>$rng.GetBytes($bytes)</w:t>
        <w:br/>
        <w:t>[Convert]::ToBase64String($bytes)</w:t>
        <w:br/>
        <w:t>$rng.Dispose()</w:t>
      </w:r>
    </w:p>
    <w:p>
      <w:pPr>
        <w:spacing w:after="60"/>
        <w:ind w:left="403" w:hanging="403"/>
      </w:pPr>
      <w:r>
        <w:t>2. Guardar .env como UTF-8 sin BOM y reiniciar el servidor. No registrar el secreto en este manual, correos, chats ni Git.</w:t>
      </w:r>
    </w:p>
    <w:p>
      <w:pPr>
        <w:spacing w:after="60"/>
        <w:ind w:left="403" w:hanging="403"/>
      </w:pPr>
      <w:r>
        <w:t>3. TI debe proveer un certificado TLS confiable para el nombre/IP del servidor, con esa identidad en SAN, y configurar sus rutas antes de ejecutar iniciar-servidor.bat.</w:t>
      </w:r>
    </w:p>
    <w:p>
      <w:pPr>
        <w:ind w:left="432"/>
      </w:pPr>
      <w:r>
        <w:rPr>
          <w:rFonts w:ascii="Consolas" w:hAnsi="Consolas"/>
          <w:sz w:val="18"/>
        </w:rPr>
        <w:t>$env:PRICEBOT_TLS_CERTFILE="C:\ruta\pricebot-cert.pem"</w:t>
        <w:br/>
        <w:t>$env:PRICEBOT_TLS_KEYFILE="C:\ruta\pricebot-key.pem"</w:t>
        <w:br/>
        <w:t>.\iniciar-servidor.bat</w:t>
      </w:r>
    </w:p>
    <w:p>
      <w:pPr>
        <w:pStyle w:val="ListBullet"/>
      </w:pPr>
      <w:r>
        <w:t>La clave privada TLS también es secreta. No copiarla al repositorio ni reenviarla; limitar permisos NTFS.</w:t>
      </w:r>
    </w:p>
    <w:p>
      <w:pPr>
        <w:pStyle w:val="Heading1"/>
        <w:pageBreakBefore/>
      </w:pPr>
      <w:r>
        <w:t>Enlaces y puntos de acceso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cantSplit/>
        </w:trPr>
        <w:tc>
          <w:tcPr>
            <w:tcW w:type="dxa" w:w="3312"/>
            <w:shd w:fill="183B56"/>
            <w:tcMar>
              <w:top w:w="110" w:type="dxa"/>
              <w:start w:w="110" w:type="dxa"/>
              <w:bottom w:w="110" w:type="dxa"/>
              <w:end w:w="110" w:type="dxa"/>
            </w:tcMar>
          </w:tcPr>
          <w:p>
            <w:pPr>
              <w:jc w:val="center"/>
            </w:pPr>
            <w:r>
              <w:rPr>
                <w:b/>
                <w:color w:val="FFFFFF"/>
                <w:sz w:val="19"/>
              </w:rPr>
              <w:t>Recurso</w:t>
            </w:r>
          </w:p>
        </w:tc>
        <w:tc>
          <w:tcPr>
            <w:tcW w:type="dxa" w:w="3312"/>
            <w:shd w:fill="183B56"/>
            <w:tcMar>
              <w:top w:w="110" w:type="dxa"/>
              <w:start w:w="110" w:type="dxa"/>
              <w:bottom w:w="110" w:type="dxa"/>
              <w:end w:w="110" w:type="dxa"/>
            </w:tcMar>
          </w:tcPr>
          <w:p>
            <w:pPr>
              <w:jc w:val="center"/>
            </w:pPr>
            <w:r>
              <w:rPr>
                <w:b/>
                <w:color w:val="FFFFFF"/>
                <w:sz w:val="19"/>
              </w:rPr>
              <w:t>Enlace</w:t>
            </w:r>
          </w:p>
        </w:tc>
        <w:tc>
          <w:tcPr>
            <w:tcW w:type="dxa" w:w="3312"/>
            <w:shd w:fill="183B56"/>
            <w:tcMar>
              <w:top w:w="110" w:type="dxa"/>
              <w:start w:w="110" w:type="dxa"/>
              <w:bottom w:w="110" w:type="dxa"/>
              <w:end w:w="110" w:type="dxa"/>
            </w:tcMar>
          </w:tcPr>
          <w:p>
            <w:pPr>
              <w:jc w:val="center"/>
            </w:pPr>
            <w:r>
              <w:rPr>
                <w:b/>
                <w:color w:val="FFFFFF"/>
                <w:sz w:val="19"/>
              </w:rPr>
              <w:t>Uso</w:t>
            </w:r>
          </w:p>
        </w:tc>
      </w:tr>
      <w:tr>
        <w:trPr>
          <w:cantSplit/>
        </w:trPr>
        <w:tc>
          <w:tcPr>
            <w:tcW w:type="dxa" w:w="3312"/>
            <w:tcMar>
              <w:top w:w="110" w:type="dxa"/>
              <w:start w:w="110" w:type="dxa"/>
              <w:bottom w:w="110" w:type="dxa"/>
              <w:end w:w="110" w:type="dxa"/>
            </w:tcMar>
            <w:vAlign w:val="center"/>
          </w:tcPr>
          <w:p>
            <w:pPr>
              <w:spacing w:after="0"/>
            </w:pPr>
            <w:r>
              <w:rPr>
                <w:sz w:val="18"/>
              </w:rPr>
              <w:t>Administración local</w:t>
            </w:r>
          </w:p>
        </w:tc>
        <w:tc>
          <w:tcPr>
            <w:tcW w:type="dxa" w:w="3312"/>
            <w:tcMar>
              <w:top w:w="110" w:type="dxa"/>
              <w:start w:w="110" w:type="dxa"/>
              <w:bottom w:w="110" w:type="dxa"/>
              <w:end w:w="110" w:type="dxa"/>
            </w:tcMar>
            <w:vAlign w:val="center"/>
          </w:tcPr>
          <w:p>
            <w:pPr>
              <w:spacing w:after="0"/>
            </w:pPr>
            <w:hyperlink r:id="rId9">
              <w:r>
                <w:rPr>
                  <w:color w:val="0563C1"/>
                  <w:u w:val="single"/>
                </w:rPr>
                <w:t>http://127.0.0.1:3000</w:t>
              </w:r>
            </w:hyperlink>
          </w:p>
        </w:tc>
        <w:tc>
          <w:tcPr>
            <w:tcW w:type="dxa" w:w="3312"/>
            <w:tcMar>
              <w:top w:w="110" w:type="dxa"/>
              <w:start w:w="110" w:type="dxa"/>
              <w:bottom w:w="110" w:type="dxa"/>
              <w:end w:w="110" w:type="dxa"/>
            </w:tcMar>
            <w:vAlign w:val="center"/>
          </w:tcPr>
          <w:p>
            <w:pPr>
              <w:spacing w:after="0"/>
            </w:pPr>
            <w:r>
              <w:rPr>
                <w:sz w:val="18"/>
              </w:rPr>
              <w:t>Solo desde la PC servidor; acceso como Administrador local</w:t>
            </w:r>
          </w:p>
        </w:tc>
      </w:tr>
      <w:tr>
        <w:trPr>
          <w:cantSplit/>
        </w:trPr>
        <w:tc>
          <w:tcPr>
            <w:tcW w:type="dxa" w:w="3312"/>
            <w:tcMar>
              <w:top w:w="110" w:type="dxa"/>
              <w:start w:w="110" w:type="dxa"/>
              <w:bottom w:w="110" w:type="dxa"/>
              <w:end w:w="110" w:type="dxa"/>
            </w:tcMar>
            <w:vAlign w:val="center"/>
            <w:shd w:fill="EAF3F8"/>
          </w:tcPr>
          <w:p>
            <w:pPr>
              <w:spacing w:after="0"/>
            </w:pPr>
            <w:r>
              <w:rPr>
                <w:sz w:val="18"/>
              </w:rPr>
              <w:t>Acceso de usuarios en LAN</w:t>
            </w:r>
          </w:p>
        </w:tc>
        <w:tc>
          <w:tcPr>
            <w:tcW w:type="dxa" w:w="3312"/>
            <w:tcMar>
              <w:top w:w="110" w:type="dxa"/>
              <w:start w:w="110" w:type="dxa"/>
              <w:bottom w:w="110" w:type="dxa"/>
              <w:end w:w="110" w:type="dxa"/>
            </w:tcMar>
            <w:vAlign w:val="center"/>
            <w:shd w:fill="EAF3F8"/>
          </w:tcPr>
          <w:p>
            <w:pPr>
              <w:spacing w:after="0"/>
            </w:pPr>
            <w:hyperlink r:id="rId10">
              <w:r>
                <w:rPr>
                  <w:color w:val="0563C1"/>
                  <w:u w:val="single"/>
                </w:rPr>
                <w:t>https://192.168.190.146:3000</w:t>
              </w:r>
            </w:hyperlink>
          </w:p>
        </w:tc>
        <w:tc>
          <w:tcPr>
            <w:tcW w:type="dxa" w:w="3312"/>
            <w:tcMar>
              <w:top w:w="110" w:type="dxa"/>
              <w:start w:w="110" w:type="dxa"/>
              <w:bottom w:w="110" w:type="dxa"/>
              <w:end w:w="110" w:type="dxa"/>
            </w:tcMar>
            <w:vAlign w:val="center"/>
            <w:shd w:fill="EAF3F8"/>
          </w:tcPr>
          <w:p>
            <w:pPr>
              <w:spacing w:after="0"/>
            </w:pPr>
            <w:r>
              <w:rPr>
                <w:sz w:val="18"/>
              </w:rPr>
              <w:t>Solo después de configurar y confiar el certificado TLS</w:t>
            </w:r>
          </w:p>
        </w:tc>
      </w:tr>
      <w:tr>
        <w:trPr>
          <w:cantSplit/>
        </w:trPr>
        <w:tc>
          <w:tcPr>
            <w:tcW w:type="dxa" w:w="3312"/>
            <w:tcMar>
              <w:top w:w="110" w:type="dxa"/>
              <w:start w:w="110" w:type="dxa"/>
              <w:bottom w:w="110" w:type="dxa"/>
              <w:end w:w="110" w:type="dxa"/>
            </w:tcMar>
            <w:vAlign w:val="center"/>
          </w:tcPr>
          <w:p>
            <w:pPr>
              <w:spacing w:after="0"/>
            </w:pPr>
            <w:r>
              <w:rPr>
                <w:sz w:val="18"/>
              </w:rPr>
              <w:t>Estado de la API</w:t>
            </w:r>
          </w:p>
        </w:tc>
        <w:tc>
          <w:tcPr>
            <w:tcW w:type="dxa" w:w="3312"/>
            <w:tcMar>
              <w:top w:w="110" w:type="dxa"/>
              <w:start w:w="110" w:type="dxa"/>
              <w:bottom w:w="110" w:type="dxa"/>
              <w:end w:w="110" w:type="dxa"/>
            </w:tcMar>
            <w:vAlign w:val="center"/>
          </w:tcPr>
          <w:p>
            <w:pPr>
              <w:spacing w:after="0"/>
            </w:pPr>
            <w:hyperlink r:id="rId11">
              <w:r>
                <w:rPr>
                  <w:color w:val="0563C1"/>
                  <w:u w:val="single"/>
                </w:rPr>
                <w:t>https://192.168.190.146:8000/health</w:t>
              </w:r>
            </w:hyperlink>
          </w:p>
        </w:tc>
        <w:tc>
          <w:tcPr>
            <w:tcW w:type="dxa" w:w="3312"/>
            <w:tcMar>
              <w:top w:w="110" w:type="dxa"/>
              <w:start w:w="110" w:type="dxa"/>
              <w:bottom w:w="110" w:type="dxa"/>
              <w:end w:w="110" w:type="dxa"/>
            </w:tcMar>
            <w:vAlign w:val="center"/>
          </w:tcPr>
          <w:p>
            <w:pPr>
              <w:spacing w:after="0"/>
            </w:pPr>
            <w:r>
              <w:rPr>
                <w:sz w:val="18"/>
              </w:rPr>
              <w:t>Diagnóstico remoto HTTPS; debe responder status ok</w:t>
            </w:r>
          </w:p>
        </w:tc>
      </w:tr>
      <w:tr>
        <w:trPr>
          <w:cantSplit/>
        </w:trPr>
        <w:tc>
          <w:tcPr>
            <w:tcW w:type="dxa" w:w="3312"/>
            <w:tcMar>
              <w:top w:w="110" w:type="dxa"/>
              <w:start w:w="110" w:type="dxa"/>
              <w:bottom w:w="110" w:type="dxa"/>
              <w:end w:w="110" w:type="dxa"/>
            </w:tcMar>
            <w:vAlign w:val="center"/>
            <w:shd w:fill="EAF3F8"/>
          </w:tcPr>
          <w:p>
            <w:pPr>
              <w:spacing w:after="0"/>
            </w:pPr>
            <w:r>
              <w:rPr>
                <w:sz w:val="18"/>
              </w:rPr>
              <w:t>Repositorio del proyecto</w:t>
            </w:r>
          </w:p>
        </w:tc>
        <w:tc>
          <w:tcPr>
            <w:tcW w:type="dxa" w:w="3312"/>
            <w:tcMar>
              <w:top w:w="110" w:type="dxa"/>
              <w:start w:w="110" w:type="dxa"/>
              <w:bottom w:w="110" w:type="dxa"/>
              <w:end w:w="110" w:type="dxa"/>
            </w:tcMar>
            <w:vAlign w:val="center"/>
            <w:shd w:fill="EAF3F8"/>
          </w:tcPr>
          <w:p>
            <w:pPr>
              <w:spacing w:after="0"/>
            </w:pPr>
            <w:hyperlink r:id="rId12">
              <w:r>
                <w:rPr>
                  <w:color w:val="0563C1"/>
                  <w:u w:val="single"/>
                </w:rPr>
                <w:t>https://github.com/GaryPoui/AnalizadorPlanillas</w:t>
              </w:r>
            </w:hyperlink>
          </w:p>
        </w:tc>
        <w:tc>
          <w:tcPr>
            <w:tcW w:type="dxa" w:w="3312"/>
            <w:tcMar>
              <w:top w:w="110" w:type="dxa"/>
              <w:start w:w="110" w:type="dxa"/>
              <w:bottom w:w="110" w:type="dxa"/>
              <w:end w:w="110" w:type="dxa"/>
            </w:tcMar>
            <w:vAlign w:val="center"/>
            <w:shd w:fill="EAF3F8"/>
          </w:tcPr>
          <w:p>
            <w:pPr>
              <w:spacing w:after="0"/>
            </w:pPr>
            <w:r>
              <w:rPr>
                <w:sz w:val="18"/>
              </w:rPr>
              <w:t>Código, historial y actualizaciones</w:t>
            </w:r>
          </w:p>
        </w:tc>
      </w:tr>
      <w:tr>
        <w:trPr>
          <w:cantSplit/>
        </w:trPr>
        <w:tc>
          <w:tcPr>
            <w:tcW w:type="dxa" w:w="3312"/>
            <w:tcMar>
              <w:top w:w="110" w:type="dxa"/>
              <w:start w:w="110" w:type="dxa"/>
              <w:bottom w:w="110" w:type="dxa"/>
              <w:end w:w="110" w:type="dxa"/>
            </w:tcMar>
            <w:vAlign w:val="center"/>
          </w:tcPr>
          <w:p>
            <w:pPr>
              <w:spacing w:after="0"/>
            </w:pPr>
            <w:r>
              <w:rPr>
                <w:sz w:val="18"/>
              </w:rPr>
              <w:t>Claves de Claude Platform</w:t>
            </w:r>
          </w:p>
        </w:tc>
        <w:tc>
          <w:tcPr>
            <w:tcW w:type="dxa" w:w="3312"/>
            <w:tcMar>
              <w:top w:w="110" w:type="dxa"/>
              <w:start w:w="110" w:type="dxa"/>
              <w:bottom w:w="110" w:type="dxa"/>
              <w:end w:w="110" w:type="dxa"/>
            </w:tcMar>
            <w:vAlign w:val="center"/>
          </w:tcPr>
          <w:p>
            <w:pPr>
              <w:spacing w:after="0"/>
            </w:pPr>
            <w:hyperlink r:id="rId13">
              <w:r>
                <w:rPr>
                  <w:color w:val="0563C1"/>
                  <w:u w:val="single"/>
                </w:rPr>
                <w:t>https://platform.claude.com/settings/keys</w:t>
              </w:r>
            </w:hyperlink>
          </w:p>
        </w:tc>
        <w:tc>
          <w:tcPr>
            <w:tcW w:type="dxa" w:w="3312"/>
            <w:tcMar>
              <w:top w:w="110" w:type="dxa"/>
              <w:start w:w="110" w:type="dxa"/>
              <w:bottom w:w="110" w:type="dxa"/>
              <w:end w:w="110" w:type="dxa"/>
            </w:tcMar>
            <w:vAlign w:val="center"/>
          </w:tcPr>
          <w:p>
            <w:pPr>
              <w:spacing w:after="0"/>
            </w:pPr>
            <w:r>
              <w:rPr>
                <w:sz w:val="18"/>
              </w:rPr>
              <w:t>Crear y rotar ANTHROPIC_API_KEY</w:t>
            </w:r>
          </w:p>
        </w:tc>
      </w:tr>
      <w:tr>
        <w:trPr>
          <w:cantSplit/>
        </w:trPr>
        <w:tc>
          <w:tcPr>
            <w:tcW w:type="dxa" w:w="3312"/>
            <w:tcMar>
              <w:top w:w="110" w:type="dxa"/>
              <w:start w:w="110" w:type="dxa"/>
              <w:bottom w:w="110" w:type="dxa"/>
              <w:end w:w="110" w:type="dxa"/>
            </w:tcMar>
            <w:vAlign w:val="center"/>
            <w:shd w:fill="EAF3F8"/>
          </w:tcPr>
          <w:p>
            <w:pPr>
              <w:spacing w:after="0"/>
            </w:pPr>
            <w:r>
              <w:rPr>
                <w:sz w:val="18"/>
              </w:rPr>
              <w:t>Facturación de Claude Platform</w:t>
            </w:r>
          </w:p>
        </w:tc>
        <w:tc>
          <w:tcPr>
            <w:tcW w:type="dxa" w:w="3312"/>
            <w:tcMar>
              <w:top w:w="110" w:type="dxa"/>
              <w:start w:w="110" w:type="dxa"/>
              <w:bottom w:w="110" w:type="dxa"/>
              <w:end w:w="110" w:type="dxa"/>
            </w:tcMar>
            <w:vAlign w:val="center"/>
            <w:shd w:fill="EAF3F8"/>
          </w:tcPr>
          <w:p>
            <w:pPr>
              <w:spacing w:after="0"/>
            </w:pPr>
            <w:hyperlink r:id="rId14">
              <w:r>
                <w:rPr>
                  <w:color w:val="0563C1"/>
                  <w:u w:val="single"/>
                </w:rPr>
                <w:t>https://platform.claude.com/settings/billing</w:t>
              </w:r>
            </w:hyperlink>
          </w:p>
        </w:tc>
        <w:tc>
          <w:tcPr>
            <w:tcW w:type="dxa" w:w="3312"/>
            <w:tcMar>
              <w:top w:w="110" w:type="dxa"/>
              <w:start w:w="110" w:type="dxa"/>
              <w:bottom w:w="110" w:type="dxa"/>
              <w:end w:w="110" w:type="dxa"/>
            </w:tcMar>
            <w:vAlign w:val="center"/>
            <w:shd w:fill="EAF3F8"/>
          </w:tcPr>
          <w:p>
            <w:pPr>
              <w:spacing w:after="0"/>
            </w:pPr>
            <w:r>
              <w:rPr>
                <w:sz w:val="18"/>
              </w:rPr>
              <w:t>Comprar créditos y configurar recarga</w:t>
            </w:r>
          </w:p>
        </w:tc>
      </w:tr>
      <w:tr>
        <w:trPr>
          <w:cantSplit/>
        </w:trPr>
        <w:tc>
          <w:tcPr>
            <w:tcW w:type="dxa" w:w="3312"/>
            <w:tcMar>
              <w:top w:w="110" w:type="dxa"/>
              <w:start w:w="110" w:type="dxa"/>
              <w:bottom w:w="110" w:type="dxa"/>
              <w:end w:w="110" w:type="dxa"/>
            </w:tcMar>
            <w:vAlign w:val="center"/>
          </w:tcPr>
          <w:p>
            <w:pPr>
              <w:spacing w:after="0"/>
            </w:pPr>
            <w:r>
              <w:rPr>
                <w:sz w:val="18"/>
              </w:rPr>
              <w:t>Uso de Claude Platform</w:t>
            </w:r>
          </w:p>
        </w:tc>
        <w:tc>
          <w:tcPr>
            <w:tcW w:type="dxa" w:w="3312"/>
            <w:tcMar>
              <w:top w:w="110" w:type="dxa"/>
              <w:start w:w="110" w:type="dxa"/>
              <w:bottom w:w="110" w:type="dxa"/>
              <w:end w:w="110" w:type="dxa"/>
            </w:tcMar>
            <w:vAlign w:val="center"/>
          </w:tcPr>
          <w:p>
            <w:pPr>
              <w:spacing w:after="0"/>
            </w:pPr>
            <w:hyperlink r:id="rId15">
              <w:r>
                <w:rPr>
                  <w:color w:val="0563C1"/>
                  <w:u w:val="single"/>
                </w:rPr>
                <w:t>https://platform.claude.com/usage</w:t>
              </w:r>
            </w:hyperlink>
          </w:p>
        </w:tc>
        <w:tc>
          <w:tcPr>
            <w:tcW w:type="dxa" w:w="3312"/>
            <w:tcMar>
              <w:top w:w="110" w:type="dxa"/>
              <w:start w:w="110" w:type="dxa"/>
              <w:bottom w:w="110" w:type="dxa"/>
              <w:end w:w="110" w:type="dxa"/>
            </w:tcMar>
            <w:vAlign w:val="center"/>
          </w:tcPr>
          <w:p>
            <w:pPr>
              <w:spacing w:after="0"/>
            </w:pPr>
            <w:r>
              <w:rPr>
                <w:sz w:val="18"/>
              </w:rPr>
              <w:t>Controlar tokens y costos</w:t>
            </w:r>
          </w:p>
        </w:tc>
      </w:tr>
      <w:tr>
        <w:trPr>
          <w:cantSplit/>
        </w:trPr>
        <w:tc>
          <w:tcPr>
            <w:tcW w:type="dxa" w:w="3312"/>
            <w:tcMar>
              <w:top w:w="110" w:type="dxa"/>
              <w:start w:w="110" w:type="dxa"/>
              <w:bottom w:w="110" w:type="dxa"/>
              <w:end w:w="110" w:type="dxa"/>
            </w:tcMar>
            <w:vAlign w:val="center"/>
            <w:shd w:fill="EAF3F8"/>
          </w:tcPr>
          <w:p>
            <w:pPr>
              <w:spacing w:after="0"/>
            </w:pPr>
            <w:r>
              <w:rPr>
                <w:sz w:val="18"/>
              </w:rPr>
              <w:t>Estado de Anthropic</w:t>
            </w:r>
          </w:p>
        </w:tc>
        <w:tc>
          <w:tcPr>
            <w:tcW w:type="dxa" w:w="3312"/>
            <w:tcMar>
              <w:top w:w="110" w:type="dxa"/>
              <w:start w:w="110" w:type="dxa"/>
              <w:bottom w:w="110" w:type="dxa"/>
              <w:end w:w="110" w:type="dxa"/>
            </w:tcMar>
            <w:vAlign w:val="center"/>
            <w:shd w:fill="EAF3F8"/>
          </w:tcPr>
          <w:p>
            <w:pPr>
              <w:spacing w:after="0"/>
            </w:pPr>
            <w:hyperlink r:id="rId16">
              <w:r>
                <w:rPr>
                  <w:color w:val="0563C1"/>
                  <w:u w:val="single"/>
                </w:rPr>
                <w:t>https://status.anthropic.com</w:t>
              </w:r>
            </w:hyperlink>
          </w:p>
        </w:tc>
        <w:tc>
          <w:tcPr>
            <w:tcW w:type="dxa" w:w="3312"/>
            <w:tcMar>
              <w:top w:w="110" w:type="dxa"/>
              <w:start w:w="110" w:type="dxa"/>
              <w:bottom w:w="110" w:type="dxa"/>
              <w:end w:w="110" w:type="dxa"/>
            </w:tcMar>
            <w:vAlign w:val="center"/>
            <w:shd w:fill="EAF3F8"/>
          </w:tcPr>
          <w:p>
            <w:pPr>
              <w:spacing w:after="0"/>
            </w:pPr>
            <w:r>
              <w:rPr>
                <w:sz w:val="18"/>
              </w:rPr>
              <w:t>Ver incidentes del proveedor</w:t>
            </w:r>
          </w:p>
        </w:tc>
      </w:tr>
      <w:tr>
        <w:trPr>
          <w:cantSplit/>
        </w:trPr>
        <w:tc>
          <w:tcPr>
            <w:tcW w:type="dxa" w:w="3312"/>
            <w:tcMar>
              <w:top w:w="110" w:type="dxa"/>
              <w:start w:w="110" w:type="dxa"/>
              <w:bottom w:w="110" w:type="dxa"/>
              <w:end w:w="110" w:type="dxa"/>
            </w:tcMar>
            <w:vAlign w:val="center"/>
          </w:tcPr>
          <w:p>
            <w:pPr>
              <w:spacing w:after="0"/>
            </w:pPr>
            <w:r>
              <w:rPr>
                <w:sz w:val="18"/>
              </w:rPr>
              <w:t>Correo Gmail administrativo</w:t>
            </w:r>
          </w:p>
        </w:tc>
        <w:tc>
          <w:tcPr>
            <w:tcW w:type="dxa" w:w="3312"/>
            <w:tcMar>
              <w:top w:w="110" w:type="dxa"/>
              <w:start w:w="110" w:type="dxa"/>
              <w:bottom w:w="110" w:type="dxa"/>
              <w:end w:w="110" w:type="dxa"/>
            </w:tcMar>
            <w:vAlign w:val="center"/>
          </w:tcPr>
          <w:p>
            <w:pPr>
              <w:spacing w:after="0"/>
            </w:pPr>
            <w:hyperlink r:id="rId17">
              <w:r>
                <w:rPr>
                  <w:color w:val="0563C1"/>
                  <w:u w:val="single"/>
                </w:rPr>
                <w:t>https://mail.google.com/</w:t>
              </w:r>
            </w:hyperlink>
          </w:p>
        </w:tc>
        <w:tc>
          <w:tcPr>
            <w:tcW w:type="dxa" w:w="3312"/>
            <w:tcMar>
              <w:top w:w="110" w:type="dxa"/>
              <w:start w:w="110" w:type="dxa"/>
              <w:bottom w:w="110" w:type="dxa"/>
              <w:end w:w="110" w:type="dxa"/>
            </w:tcMar>
            <w:vAlign w:val="center"/>
          </w:tcPr>
          <w:p>
            <w:pPr>
              <w:spacing w:after="0"/>
            </w:pPr>
            <w:r>
              <w:rPr>
                <w:sz w:val="18"/>
              </w:rPr>
              <w:t>Cuenta responsable: compras@dynamicenergy.com.ar</w:t>
            </w:r>
          </w:p>
        </w:tc>
      </w:tr>
      <w:tr>
        <w:trPr>
          <w:cantSplit/>
        </w:trPr>
        <w:tc>
          <w:tcPr>
            <w:tcW w:type="dxa" w:w="3312"/>
            <w:tcMar>
              <w:top w:w="110" w:type="dxa"/>
              <w:start w:w="110" w:type="dxa"/>
              <w:bottom w:w="110" w:type="dxa"/>
              <w:end w:w="110" w:type="dxa"/>
            </w:tcMar>
            <w:vAlign w:val="center"/>
            <w:shd w:fill="EAF3F8"/>
          </w:tcPr>
          <w:p>
            <w:pPr>
              <w:spacing w:after="0"/>
            </w:pPr>
            <w:r>
              <w:rPr>
                <w:sz w:val="18"/>
              </w:rPr>
              <w:t>Seguridad Google</w:t>
            </w:r>
          </w:p>
        </w:tc>
        <w:tc>
          <w:tcPr>
            <w:tcW w:type="dxa" w:w="3312"/>
            <w:tcMar>
              <w:top w:w="110" w:type="dxa"/>
              <w:start w:w="110" w:type="dxa"/>
              <w:bottom w:w="110" w:type="dxa"/>
              <w:end w:w="110" w:type="dxa"/>
            </w:tcMar>
            <w:vAlign w:val="center"/>
            <w:shd w:fill="EAF3F8"/>
          </w:tcPr>
          <w:p>
            <w:pPr>
              <w:spacing w:after="0"/>
            </w:pPr>
            <w:hyperlink r:id="rId18">
              <w:r>
                <w:rPr>
                  <w:color w:val="0563C1"/>
                  <w:u w:val="single"/>
                </w:rPr>
                <w:t>https://myaccount.google.com/security</w:t>
              </w:r>
            </w:hyperlink>
          </w:p>
        </w:tc>
        <w:tc>
          <w:tcPr>
            <w:tcW w:type="dxa" w:w="3312"/>
            <w:tcMar>
              <w:top w:w="110" w:type="dxa"/>
              <w:start w:w="110" w:type="dxa"/>
              <w:bottom w:w="110" w:type="dxa"/>
              <w:end w:w="110" w:type="dxa"/>
            </w:tcMar>
            <w:vAlign w:val="center"/>
            <w:shd w:fill="EAF3F8"/>
          </w:tcPr>
          <w:p>
            <w:pPr>
              <w:spacing w:after="0"/>
            </w:pPr>
            <w:r>
              <w:rPr>
                <w:sz w:val="18"/>
              </w:rPr>
              <w:t>Activar segundo factor y crear contraseña de aplicación</w:t>
            </w:r>
          </w:p>
        </w:tc>
      </w:tr>
      <w:tr>
        <w:trPr>
          <w:cantSplit/>
        </w:trPr>
        <w:tc>
          <w:tcPr>
            <w:tcW w:type="dxa" w:w="3312"/>
            <w:tcMar>
              <w:top w:w="110" w:type="dxa"/>
              <w:start w:w="110" w:type="dxa"/>
              <w:bottom w:w="110" w:type="dxa"/>
              <w:end w:w="110" w:type="dxa"/>
            </w:tcMar>
            <w:vAlign w:val="center"/>
          </w:tcPr>
          <w:p>
            <w:pPr>
              <w:spacing w:after="0"/>
            </w:pPr>
            <w:r>
              <w:rPr>
                <w:sz w:val="18"/>
              </w:rPr>
              <w:t>Contraseñas de aplicación Google</w:t>
            </w:r>
          </w:p>
        </w:tc>
        <w:tc>
          <w:tcPr>
            <w:tcW w:type="dxa" w:w="3312"/>
            <w:tcMar>
              <w:top w:w="110" w:type="dxa"/>
              <w:start w:w="110" w:type="dxa"/>
              <w:bottom w:w="110" w:type="dxa"/>
              <w:end w:w="110" w:type="dxa"/>
            </w:tcMar>
            <w:vAlign w:val="center"/>
          </w:tcPr>
          <w:p>
            <w:pPr>
              <w:spacing w:after="0"/>
            </w:pPr>
            <w:hyperlink r:id="rId19">
              <w:r>
                <w:rPr>
                  <w:color w:val="0563C1"/>
                  <w:u w:val="single"/>
                </w:rPr>
                <w:t>https://myaccount.google.com/apppasswords</w:t>
              </w:r>
            </w:hyperlink>
          </w:p>
        </w:tc>
        <w:tc>
          <w:tcPr>
            <w:tcW w:type="dxa" w:w="3312"/>
            <w:tcMar>
              <w:top w:w="110" w:type="dxa"/>
              <w:start w:w="110" w:type="dxa"/>
              <w:bottom w:w="110" w:type="dxa"/>
              <w:end w:w="110" w:type="dxa"/>
            </w:tcMar>
            <w:vAlign w:val="center"/>
          </w:tcPr>
          <w:p>
            <w:pPr>
              <w:spacing w:after="0"/>
            </w:pPr>
            <w:r>
              <w:rPr>
                <w:sz w:val="18"/>
              </w:rPr>
              <w:t>Rotar la credencial SMTP de Gmail</w:t>
            </w:r>
          </w:p>
        </w:tc>
      </w:tr>
    </w:tbl>
    <w:p/>
    <w:p>
      <w:pPr>
        <w:pStyle w:val="Heading1"/>
      </w:pPr>
      <w:r>
        <w:t>Inventario de cuentas y responsables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val="true"/>
          <w:cantSplit/>
        </w:trPr>
        <w:tc>
          <w:tcPr>
            <w:tcW w:type="dxa" w:w="1944"/>
            <w:shd w:fill="183B56"/>
            <w:tcMar>
              <w:top w:w="110" w:type="dxa"/>
              <w:start w:w="110" w:type="dxa"/>
              <w:bottom w:w="110" w:type="dxa"/>
              <w:end w:w="110" w:type="dxa"/>
            </w:tcMar>
            <w:vAlign w:val="center"/>
          </w:tcPr>
          <w:p>
            <w:pPr>
              <w:jc w:val="center"/>
            </w:pPr>
            <w:r>
              <w:rPr>
                <w:b/>
                <w:color w:val="FFFFFF"/>
                <w:sz w:val="19"/>
              </w:rPr>
              <w:t>Cuenta o rol</w:t>
            </w:r>
          </w:p>
        </w:tc>
        <w:tc>
          <w:tcPr>
            <w:tcW w:type="dxa" w:w="2592"/>
            <w:shd w:fill="183B56"/>
            <w:tcMar>
              <w:top w:w="110" w:type="dxa"/>
              <w:start w:w="110" w:type="dxa"/>
              <w:bottom w:w="110" w:type="dxa"/>
              <w:end w:w="110" w:type="dxa"/>
            </w:tcMar>
            <w:vAlign w:val="center"/>
          </w:tcPr>
          <w:p>
            <w:pPr>
              <w:jc w:val="center"/>
            </w:pPr>
            <w:r>
              <w:rPr>
                <w:b/>
                <w:color w:val="FFFFFF"/>
                <w:sz w:val="19"/>
              </w:rPr>
              <w:t>Identificador</w:t>
            </w:r>
          </w:p>
        </w:tc>
        <w:tc>
          <w:tcPr>
            <w:tcW w:type="dxa" w:w="3672"/>
            <w:shd w:fill="183B56"/>
            <w:tcMar>
              <w:top w:w="110" w:type="dxa"/>
              <w:start w:w="110" w:type="dxa"/>
              <w:bottom w:w="110" w:type="dxa"/>
              <w:end w:w="110" w:type="dxa"/>
            </w:tcMar>
            <w:vAlign w:val="center"/>
          </w:tcPr>
          <w:p>
            <w:pPr>
              <w:jc w:val="center"/>
            </w:pPr>
            <w:r>
              <w:rPr>
                <w:b/>
                <w:color w:val="FFFFFF"/>
                <w:sz w:val="19"/>
              </w:rPr>
              <w:t>Responsabilidad</w:t>
            </w:r>
          </w:p>
        </w:tc>
        <w:tc>
          <w:tcPr>
            <w:tcW w:type="dxa" w:w="1440"/>
            <w:shd w:fill="183B56"/>
            <w:tcMar>
              <w:top w:w="110" w:type="dxa"/>
              <w:start w:w="110" w:type="dxa"/>
              <w:bottom w:w="110" w:type="dxa"/>
              <w:end w:w="110" w:type="dxa"/>
            </w:tcMar>
            <w:vAlign w:val="center"/>
          </w:tcPr>
          <w:p>
            <w:pPr>
              <w:jc w:val="center"/>
            </w:pPr>
            <w:r>
              <w:rPr>
                <w:b/>
                <w:color w:val="FFFFFF"/>
                <w:sz w:val="19"/>
              </w:rPr>
              <w:t>Secreto documentado</w:t>
            </w:r>
          </w:p>
        </w:tc>
      </w:tr>
      <w:tr>
        <w:trPr>
          <w:cantSplit/>
        </w:trPr>
        <w:tc>
          <w:tcPr>
            <w:tcW w:type="dxa" w:w="1944"/>
            <w:tcMar>
              <w:top w:w="110" w:type="dxa"/>
              <w:start w:w="110" w:type="dxa"/>
              <w:bottom w:w="110" w:type="dxa"/>
              <w:end w:w="110" w:type="dxa"/>
            </w:tcMar>
            <w:vAlign w:val="center"/>
          </w:tcPr>
          <w:p>
            <w:pPr>
              <w:spacing w:after="0"/>
            </w:pPr>
            <w:r>
              <w:rPr>
                <w:sz w:val="19"/>
              </w:rPr>
              <w:t>Administrador local de PriceBot</w:t>
            </w:r>
          </w:p>
        </w:tc>
        <w:tc>
          <w:tcPr>
            <w:tcW w:type="dxa" w:w="2592"/>
            <w:tcMar>
              <w:top w:w="110" w:type="dxa"/>
              <w:start w:w="110" w:type="dxa"/>
              <w:bottom w:w="110" w:type="dxa"/>
              <w:end w:w="110" w:type="dxa"/>
            </w:tcMar>
            <w:vAlign w:val="center"/>
          </w:tcPr>
          <w:p>
            <w:pPr>
              <w:spacing w:after="0"/>
            </w:pPr>
            <w:r>
              <w:rPr>
                <w:sz w:val="19"/>
              </w:rPr>
              <w:t>Administrador local</w:t>
            </w:r>
          </w:p>
        </w:tc>
        <w:tc>
          <w:tcPr>
            <w:tcW w:type="dxa" w:w="3672"/>
            <w:tcMar>
              <w:top w:w="110" w:type="dxa"/>
              <w:start w:w="110" w:type="dxa"/>
              <w:bottom w:w="110" w:type="dxa"/>
              <w:end w:w="110" w:type="dxa"/>
            </w:tcMar>
            <w:vAlign w:val="center"/>
          </w:tcPr>
          <w:p>
            <w:pPr>
              <w:spacing w:after="0"/>
            </w:pPr>
            <w:r>
              <w:rPr>
                <w:sz w:val="19"/>
              </w:rPr>
              <w:t>Opera usuarios desde localhost en el servidor</w:t>
            </w:r>
          </w:p>
        </w:tc>
        <w:tc>
          <w:tcPr>
            <w:tcW w:type="dxa" w:w="1440"/>
            <w:tcMar>
              <w:top w:w="110" w:type="dxa"/>
              <w:start w:w="110" w:type="dxa"/>
              <w:bottom w:w="110" w:type="dxa"/>
              <w:end w:w="110" w:type="dxa"/>
            </w:tcMar>
            <w:vAlign w:val="center"/>
          </w:tcPr>
          <w:p>
            <w:pPr>
              <w:spacing w:after="0"/>
            </w:pPr>
            <w:r>
              <w:rPr>
                <w:sz w:val="19"/>
              </w:rPr>
              <w:t>No aplica</w:t>
            </w:r>
          </w:p>
        </w:tc>
      </w:tr>
      <w:tr>
        <w:trPr>
          <w:cantSplit/>
        </w:trPr>
        <w:tc>
          <w:tcPr>
            <w:tcW w:type="dxa" w:w="1944"/>
            <w:tcMar>
              <w:top w:w="110" w:type="dxa"/>
              <w:start w:w="110" w:type="dxa"/>
              <w:bottom w:w="110" w:type="dxa"/>
              <w:end w:w="110" w:type="dxa"/>
            </w:tcMar>
            <w:vAlign w:val="center"/>
            <w:shd w:fill="EAF3F8"/>
          </w:tcPr>
          <w:p>
            <w:pPr>
              <w:spacing w:after="0"/>
            </w:pPr>
            <w:r>
              <w:rPr>
                <w:sz w:val="19"/>
              </w:rPr>
              <w:t>Cuenta Windows del servidor</w:t>
            </w:r>
          </w:p>
        </w:tc>
        <w:tc>
          <w:tcPr>
            <w:tcW w:type="dxa" w:w="2592"/>
            <w:tcMar>
              <w:top w:w="110" w:type="dxa"/>
              <w:start w:w="110" w:type="dxa"/>
              <w:bottom w:w="110" w:type="dxa"/>
              <w:end w:w="110" w:type="dxa"/>
            </w:tcMar>
            <w:vAlign w:val="center"/>
            <w:shd w:fill="EAF3F8"/>
          </w:tcPr>
          <w:p>
            <w:pPr>
              <w:spacing w:after="0"/>
            </w:pPr>
            <w:r>
              <w:rPr>
                <w:sz w:val="19"/>
              </w:rPr>
              <w:t>Responsable TI a confirmar</w:t>
            </w:r>
          </w:p>
        </w:tc>
        <w:tc>
          <w:tcPr>
            <w:tcW w:type="dxa" w:w="3672"/>
            <w:tcMar>
              <w:top w:w="110" w:type="dxa"/>
              <w:start w:w="110" w:type="dxa"/>
              <w:bottom w:w="110" w:type="dxa"/>
              <w:end w:w="110" w:type="dxa"/>
            </w:tcMar>
            <w:vAlign w:val="center"/>
            <w:shd w:fill="EAF3F8"/>
          </w:tcPr>
          <w:p>
            <w:pPr>
              <w:spacing w:after="0"/>
            </w:pPr>
            <w:r>
              <w:rPr>
                <w:sz w:val="19"/>
              </w:rPr>
              <w:t>Iniciar, actualizar y respaldar la aplicación</w:t>
            </w:r>
          </w:p>
        </w:tc>
        <w:tc>
          <w:tcPr>
            <w:tcW w:type="dxa" w:w="1440"/>
            <w:tcMar>
              <w:top w:w="110" w:type="dxa"/>
              <w:start w:w="110" w:type="dxa"/>
              <w:bottom w:w="110" w:type="dxa"/>
              <w:end w:w="110" w:type="dxa"/>
            </w:tcMar>
            <w:vAlign w:val="center"/>
            <w:shd w:fill="EAF3F8"/>
          </w:tcPr>
          <w:p>
            <w:pPr>
              <w:spacing w:after="0"/>
            </w:pPr>
            <w:r>
              <w:rPr>
                <w:sz w:val="19"/>
              </w:rPr>
              <w:t>No</w:t>
            </w:r>
          </w:p>
        </w:tc>
      </w:tr>
      <w:tr>
        <w:trPr>
          <w:cantSplit/>
        </w:trPr>
        <w:tc>
          <w:tcPr>
            <w:tcW w:type="dxa" w:w="1944"/>
            <w:tcMar>
              <w:top w:w="110" w:type="dxa"/>
              <w:start w:w="110" w:type="dxa"/>
              <w:bottom w:w="110" w:type="dxa"/>
              <w:end w:w="110" w:type="dxa"/>
            </w:tcMar>
            <w:vAlign w:val="center"/>
          </w:tcPr>
          <w:p>
            <w:pPr>
              <w:spacing w:after="0"/>
            </w:pPr>
            <w:r>
              <w:rPr>
                <w:sz w:val="19"/>
              </w:rPr>
              <w:t>Gmail administrativo</w:t>
            </w:r>
          </w:p>
        </w:tc>
        <w:tc>
          <w:tcPr>
            <w:tcW w:type="dxa" w:w="2592"/>
            <w:tcMar>
              <w:top w:w="110" w:type="dxa"/>
              <w:start w:w="110" w:type="dxa"/>
              <w:bottom w:w="110" w:type="dxa"/>
              <w:end w:w="110" w:type="dxa"/>
            </w:tcMar>
            <w:vAlign w:val="center"/>
          </w:tcPr>
          <w:p>
            <w:pPr>
              <w:spacing w:after="0"/>
            </w:pPr>
            <w:r>
              <w:rPr>
                <w:sz w:val="19"/>
              </w:rPr>
              <w:t>compras@dynamicenergy.com.ar</w:t>
            </w:r>
          </w:p>
        </w:tc>
        <w:tc>
          <w:tcPr>
            <w:tcW w:type="dxa" w:w="3672"/>
            <w:tcMar>
              <w:top w:w="110" w:type="dxa"/>
              <w:start w:w="110" w:type="dxa"/>
              <w:bottom w:w="110" w:type="dxa"/>
              <w:end w:w="110" w:type="dxa"/>
            </w:tcMar>
            <w:vAlign w:val="center"/>
          </w:tcPr>
          <w:p>
            <w:pPr>
              <w:spacing w:after="0"/>
            </w:pPr>
            <w:r>
              <w:rPr>
                <w:sz w:val="19"/>
              </w:rPr>
              <w:t>Confirmaciones de acceso y alertas de consumo</w:t>
            </w:r>
          </w:p>
        </w:tc>
        <w:tc>
          <w:tcPr>
            <w:tcW w:type="dxa" w:w="1440"/>
            <w:tcMar>
              <w:top w:w="110" w:type="dxa"/>
              <w:start w:w="110" w:type="dxa"/>
              <w:bottom w:w="110" w:type="dxa"/>
              <w:end w:w="110" w:type="dxa"/>
            </w:tcMar>
            <w:vAlign w:val="center"/>
          </w:tcPr>
          <w:p>
            <w:pPr>
              <w:spacing w:after="0"/>
            </w:pPr>
            <w:r>
              <w:rPr>
                <w:sz w:val="19"/>
              </w:rPr>
              <w:t>No; usar contraseña de aplicación</w:t>
            </w:r>
          </w:p>
        </w:tc>
      </w:tr>
      <w:tr>
        <w:trPr>
          <w:cantSplit/>
        </w:trPr>
        <w:tc>
          <w:tcPr>
            <w:tcW w:type="dxa" w:w="1944"/>
            <w:tcMar>
              <w:top w:w="110" w:type="dxa"/>
              <w:start w:w="110" w:type="dxa"/>
              <w:bottom w:w="110" w:type="dxa"/>
              <w:end w:w="110" w:type="dxa"/>
            </w:tcMar>
            <w:vAlign w:val="center"/>
            <w:shd w:fill="EAF3F8"/>
          </w:tcPr>
          <w:p>
            <w:pPr>
              <w:spacing w:after="0"/>
            </w:pPr>
            <w:r>
              <w:rPr>
                <w:sz w:val="19"/>
              </w:rPr>
              <w:t>Usuarios finales</w:t>
            </w:r>
          </w:p>
        </w:tc>
        <w:tc>
          <w:tcPr>
            <w:tcW w:type="dxa" w:w="2592"/>
            <w:tcMar>
              <w:top w:w="110" w:type="dxa"/>
              <w:start w:w="110" w:type="dxa"/>
              <w:bottom w:w="110" w:type="dxa"/>
              <w:end w:w="110" w:type="dxa"/>
            </w:tcMar>
            <w:vAlign w:val="center"/>
            <w:shd w:fill="EAF3F8"/>
          </w:tcPr>
          <w:p>
            <w:pPr>
              <w:spacing w:after="0"/>
            </w:pPr>
            <w:r>
              <w:rPr>
                <w:sz w:val="19"/>
              </w:rPr>
              <w:t>Correos visibles en la pestaña Usuarios</w:t>
            </w:r>
          </w:p>
        </w:tc>
        <w:tc>
          <w:tcPr>
            <w:tcW w:type="dxa" w:w="3672"/>
            <w:tcMar>
              <w:top w:w="110" w:type="dxa"/>
              <w:start w:w="110" w:type="dxa"/>
              <w:bottom w:w="110" w:type="dxa"/>
              <w:end w:w="110" w:type="dxa"/>
            </w:tcMar>
            <w:vAlign w:val="center"/>
            <w:shd w:fill="EAF3F8"/>
          </w:tcPr>
          <w:p>
            <w:pPr>
              <w:spacing w:after="0"/>
            </w:pPr>
            <w:r>
              <w:rPr>
                <w:sz w:val="19"/>
              </w:rPr>
              <w:t>Ingresar desde otras PCs</w:t>
            </w:r>
          </w:p>
        </w:tc>
        <w:tc>
          <w:tcPr>
            <w:tcW w:type="dxa" w:w="1440"/>
            <w:tcMar>
              <w:top w:w="110" w:type="dxa"/>
              <w:start w:w="110" w:type="dxa"/>
              <w:bottom w:w="110" w:type="dxa"/>
              <w:end w:w="110" w:type="dxa"/>
            </w:tcMar>
            <w:vAlign w:val="center"/>
            <w:shd w:fill="EAF3F8"/>
          </w:tcPr>
          <w:p>
            <w:pPr>
              <w:spacing w:after="0"/>
            </w:pPr>
            <w:r>
              <w:rPr>
                <w:sz w:val="19"/>
              </w:rPr>
              <w:t>No; las contraseñas no son recuperables</w:t>
            </w:r>
          </w:p>
        </w:tc>
      </w:tr>
      <w:tr>
        <w:trPr>
          <w:cantSplit/>
        </w:trPr>
        <w:tc>
          <w:tcPr>
            <w:tcW w:type="dxa" w:w="1944"/>
            <w:tcMar>
              <w:top w:w="110" w:type="dxa"/>
              <w:start w:w="110" w:type="dxa"/>
              <w:bottom w:w="110" w:type="dxa"/>
              <w:end w:w="110" w:type="dxa"/>
            </w:tcMar>
            <w:vAlign w:val="center"/>
          </w:tcPr>
          <w:p>
            <w:pPr>
              <w:spacing w:after="0"/>
            </w:pPr>
            <w:r>
              <w:rPr>
                <w:sz w:val="19"/>
              </w:rPr>
              <w:t>Claude Platform</w:t>
            </w:r>
          </w:p>
        </w:tc>
        <w:tc>
          <w:tcPr>
            <w:tcW w:type="dxa" w:w="2592"/>
            <w:tcMar>
              <w:top w:w="110" w:type="dxa"/>
              <w:start w:w="110" w:type="dxa"/>
              <w:bottom w:w="110" w:type="dxa"/>
              <w:end w:w="110" w:type="dxa"/>
            </w:tcMar>
            <w:vAlign w:val="center"/>
          </w:tcPr>
          <w:p>
            <w:pPr>
              <w:spacing w:after="0"/>
            </w:pPr>
            <w:r>
              <w:rPr>
                <w:sz w:val="19"/>
              </w:rPr>
              <w:t>Titular a registrar por Administración</w:t>
            </w:r>
          </w:p>
        </w:tc>
        <w:tc>
          <w:tcPr>
            <w:tcW w:type="dxa" w:w="3672"/>
            <w:tcMar>
              <w:top w:w="110" w:type="dxa"/>
              <w:start w:w="110" w:type="dxa"/>
              <w:bottom w:w="110" w:type="dxa"/>
              <w:end w:w="110" w:type="dxa"/>
            </w:tcMar>
            <w:vAlign w:val="center"/>
          </w:tcPr>
          <w:p>
            <w:pPr>
              <w:spacing w:after="0"/>
            </w:pPr>
            <w:r>
              <w:rPr>
                <w:sz w:val="19"/>
              </w:rPr>
              <w:t>Claves API, créditos, facturación y uso</w:t>
            </w:r>
          </w:p>
        </w:tc>
        <w:tc>
          <w:tcPr>
            <w:tcW w:type="dxa" w:w="1440"/>
            <w:tcMar>
              <w:top w:w="110" w:type="dxa"/>
              <w:start w:w="110" w:type="dxa"/>
              <w:bottom w:w="110" w:type="dxa"/>
              <w:end w:w="110" w:type="dxa"/>
            </w:tcMar>
            <w:vAlign w:val="center"/>
          </w:tcPr>
          <w:p>
            <w:pPr>
              <w:spacing w:after="0"/>
            </w:pPr>
            <w:r>
              <w:rPr>
                <w:sz w:val="19"/>
              </w:rPr>
              <w:t>No</w:t>
            </w:r>
          </w:p>
        </w:tc>
      </w:tr>
      <w:tr>
        <w:trPr>
          <w:cantSplit/>
        </w:trPr>
        <w:tc>
          <w:tcPr>
            <w:tcW w:type="dxa" w:w="1944"/>
            <w:tcMar>
              <w:top w:w="110" w:type="dxa"/>
              <w:start w:w="110" w:type="dxa"/>
              <w:bottom w:w="110" w:type="dxa"/>
              <w:end w:w="110" w:type="dxa"/>
            </w:tcMar>
            <w:vAlign w:val="center"/>
            <w:shd w:fill="EAF3F8"/>
          </w:tcPr>
          <w:p>
            <w:pPr>
              <w:spacing w:after="0"/>
            </w:pPr>
            <w:r>
              <w:rPr>
                <w:sz w:val="19"/>
              </w:rPr>
              <w:t>GitHub</w:t>
            </w:r>
          </w:p>
        </w:tc>
        <w:tc>
          <w:tcPr>
            <w:tcW w:type="dxa" w:w="2592"/>
            <w:tcMar>
              <w:top w:w="110" w:type="dxa"/>
              <w:start w:w="110" w:type="dxa"/>
              <w:bottom w:w="110" w:type="dxa"/>
              <w:end w:w="110" w:type="dxa"/>
            </w:tcMar>
            <w:vAlign w:val="center"/>
            <w:shd w:fill="EAF3F8"/>
          </w:tcPr>
          <w:p>
            <w:pPr>
              <w:spacing w:after="0"/>
            </w:pPr>
            <w:r>
              <w:rPr>
                <w:sz w:val="19"/>
              </w:rPr>
              <w:t>Repositorio GaryPoui AnalizadorPlanillas</w:t>
            </w:r>
          </w:p>
        </w:tc>
        <w:tc>
          <w:tcPr>
            <w:tcW w:type="dxa" w:w="3672"/>
            <w:tcMar>
              <w:top w:w="110" w:type="dxa"/>
              <w:start w:w="110" w:type="dxa"/>
              <w:bottom w:w="110" w:type="dxa"/>
              <w:end w:w="110" w:type="dxa"/>
            </w:tcMar>
            <w:vAlign w:val="center"/>
            <w:shd w:fill="EAF3F8"/>
          </w:tcPr>
          <w:p>
            <w:pPr>
              <w:spacing w:after="0"/>
            </w:pPr>
            <w:r>
              <w:rPr>
                <w:sz w:val="19"/>
              </w:rPr>
              <w:t>Actualizar el código y conservar historial</w:t>
            </w:r>
          </w:p>
        </w:tc>
        <w:tc>
          <w:tcPr>
            <w:tcW w:type="dxa" w:w="1440"/>
            <w:tcMar>
              <w:top w:w="110" w:type="dxa"/>
              <w:start w:w="110" w:type="dxa"/>
              <w:bottom w:w="110" w:type="dxa"/>
              <w:end w:w="110" w:type="dxa"/>
            </w:tcMar>
            <w:vAlign w:val="center"/>
            <w:shd w:fill="EAF3F8"/>
          </w:tcPr>
          <w:p>
            <w:pPr>
              <w:spacing w:after="0"/>
            </w:pPr>
            <w:r>
              <w:rPr>
                <w:sz w:val="19"/>
              </w:rPr>
              <w:t>No</w:t>
            </w:r>
          </w:p>
        </w:tc>
      </w:tr>
    </w:tbl>
    <w:p>
      <w:pPr>
        <w:spacing w:after="40"/>
      </w:pPr>
    </w:p>
    <w:p>
      <w:r>
        <w:t>Administración/TI debe confirmar titulares y recuperación de Claude Platform y GitHub. Nunca se incluyen contraseñas en este manual. Guardar secretos en el gestor corporativo o en pricebot\.env con permisos NTFS restringidos. La administración de usuarios de PriceBot se realiza localmente en el servidor; no existe una contraseña maestra compartida.</w:t>
      </w:r>
    </w:p>
    <w:p>
      <w:pPr>
        <w:pStyle w:val="Heading1"/>
      </w:pPr>
      <w:r>
        <w:t>Inicio y detención del servidor</w:t>
      </w:r>
    </w:p>
    <w:p>
      <w:pPr>
        <w:spacing w:after="60"/>
        <w:ind w:left="403" w:hanging="403"/>
      </w:pPr>
      <w:r>
        <w:t>1. Iniciar sesión en Windows en la computadora servidor.</w:t>
      </w:r>
    </w:p>
    <w:p>
      <w:pPr>
        <w:spacing w:after="60"/>
        <w:ind w:left="403" w:hanging="403"/>
      </w:pPr>
      <w:r>
        <w:t>2. Abrir la carpeta de instalación de AnalizadorPlanillas indicada por TI.</w:t>
      </w:r>
    </w:p>
    <w:p>
      <w:pPr>
        <w:spacing w:after="60"/>
        <w:ind w:left="403" w:hanging="403"/>
      </w:pPr>
      <w:r>
        <w:t>3. Hacer doble clic en iniciar-servidor.bat y mantener abiertas las ventanas del backend y frontend.</w:t>
      </w:r>
    </w:p>
    <w:p>
      <w:pPr>
        <w:spacing w:after="60"/>
        <w:ind w:left="403" w:hanging="403"/>
      </w:pPr>
      <w:r>
        <w:t>4. Comprobar http://127.0.0.1:3000 en el servidor. Para LAN, configurar TLS y usar https://192.168.190.146:3000.</w:t>
      </w:r>
    </w:p>
    <w:p>
      <w:pPr>
        <w:spacing w:after="60"/>
        <w:ind w:left="403" w:hanging="403"/>
      </w:pPr>
      <w:r>
        <w:t>5. Verificar que /health responda status ok antes de habilitar el uso.</w:t>
      </w:r>
    </w:p>
    <w:p>
      <w:r>
        <w:t>Para detener el servicio, cerrar las ventanas iniciadas por PriceBot. No apagar la PC mientras haya extracciones activas. Después de un reinicio de Windows, ejecutar nuevamente el lanzador.</w:t>
      </w:r>
    </w:p>
    <w:p>
      <w:pPr>
        <w:pStyle w:val="Heading1"/>
      </w:pPr>
      <w:r>
        <w:t>Primera puesta en marcha del administrador</w:t>
      </w:r>
    </w:p>
    <w:p>
      <w:pPr>
        <w:spacing w:after="60"/>
        <w:ind w:left="403" w:hanging="403"/>
      </w:pPr>
      <w:r>
        <w:t>1. TI instala Python y las dependencias ejecutando instalar.bat. Crear pricebot\.env desde pricebot\.env.example si aún no existe; nunca reemplazar un .env existente sin respaldarlo.</w:t>
      </w:r>
    </w:p>
    <w:p>
      <w:pPr>
        <w:spacing w:after="60"/>
        <w:ind w:left="403" w:hanging="403"/>
      </w:pPr>
      <w:r>
        <w:t>2. Acordar con Administración si los documentos pueden enviarse a Anthropic. Mantener PRICEBOT_ALLOW_EXTERNAL_AI=0 si no hay aprobación; solo entonces cargar ANTHROPIC_API_KEY y cambiarlo a 1.</w:t>
      </w:r>
    </w:p>
    <w:p>
      <w:pPr>
        <w:spacing w:after="60"/>
        <w:ind w:left="403" w:hanging="403"/>
      </w:pPr>
      <w:r>
        <w:t>3. Cargar la cuenta Gmail autorizada, su contraseña de aplicación y PRICEBOT_ALERT_EMAIL siguiendo la sección Gmail. Definir el presupuesto mensual aprobado para habilitar alertas de umbral.</w:t>
      </w:r>
    </w:p>
    <w:p>
      <w:pPr>
        <w:spacing w:after="60"/>
        <w:ind w:left="403" w:hanging="403"/>
      </w:pPr>
      <w:r>
        <w:t>4. Generar PRICEBOT_SESSION_SECRET en el servidor, guardarlo solo en .env y restringir permisos NTFS. Aplicar HTTPS confiable en frontend/API antes de permitir acceso desde otras PCs.</w:t>
      </w:r>
    </w:p>
    <w:p>
      <w:pPr>
        <w:spacing w:after="60"/>
        <w:ind w:left="403" w:hanging="403"/>
      </w:pPr>
      <w:r>
        <w:t>5. Revisar PRICEBOT_PUBLIC_URL y PRICEBOT_ALLOWED_ORIGINS para que usen el mismo HTTPS y nombre/IP cubierto por el certificado. Guardar .env como UTF-8 sin BOM.</w:t>
      </w:r>
    </w:p>
    <w:p>
      <w:pPr>
        <w:spacing w:after="60"/>
        <w:ind w:left="403" w:hanging="403"/>
      </w:pPr>
      <w:r>
        <w:t>6. Ejecutar iniciar-servidor.bat. Abrir http://127.0.0.1:3000 en el servidor y comprobar el estado del servicio. El administrador es un acceso local de Windows, no una cuenta web compartida.</w:t>
      </w:r>
    </w:p>
    <w:p>
      <w:pPr>
        <w:spacing w:after="60"/>
        <w:ind w:left="403" w:hanging="403"/>
      </w:pPr>
      <w:r>
        <w:t>7. En la pestaña Usuarios, crear el primer usuario con su correo y contraseña inicial (mínimo 10 caracteres). Comunicar esa contraseña por un canal seguro distinto del correo de confirmación.</w:t>
      </w:r>
    </w:p>
    <w:p>
      <w:pPr>
        <w:spacing w:after="60"/>
        <w:ind w:left="403" w:hanging="403"/>
      </w:pPr>
      <w:r>
        <w:t>8. Pedir al usuario que confirme el correo dentro de las 24 horas. Verificar que figure Confirmado y probar el acceso desde el equipo autorizado.</w:t>
      </w:r>
    </w:p>
    <w:p>
      <w:r>
        <w:t>Si todavía no hay usuarios activos, el modo de alta inicial solo está disponible desde localhost. Con el lanzador oficial, PRICEBOT_LOCAL_ADMIN_BYPASS mantiene la pestaña de administración en el servidor; las operaciones de usuarios siguen rechazando solicitudes remotas. No habilitar ese bypass en un proxy público.</w:t>
      </w:r>
    </w:p>
    <w:p>
      <w:pPr>
        <w:pStyle w:val="Heading1"/>
      </w:pPr>
      <w:r>
        <w:t>Recorrido del usuario: invitación a descarga</w:t>
      </w:r>
    </w:p>
    <w:p>
      <w:pPr>
        <w:spacing w:after="60"/>
        <w:ind w:left="403" w:hanging="403"/>
      </w:pPr>
      <w:r>
        <w:t>1. Abrir el mensaje de invitación enviado a su correo y entrar al enlace antes de que venza (24 horas por defecto). Debe usar la dirección HTTPS confiable indicada por TI.</w:t>
      </w:r>
    </w:p>
    <w:p>
      <w:pPr>
        <w:spacing w:after="60"/>
        <w:ind w:left="403" w:hanging="403"/>
      </w:pPr>
      <w:r>
        <w:t>2. Abrir PriceBot, escribir el correo registrado y la contraseña inicial entregada por el administrador y seleccionar Ingresar. Si el correo cambió o no puede entrar, solicitar al administrador que actualice o restablezca la cuenta.</w:t>
      </w:r>
    </w:p>
    <w:p>
      <w:pPr>
        <w:spacing w:after="60"/>
        <w:ind w:left="403" w:hanging="403"/>
      </w:pPr>
      <w:r>
        <w:t>3. En Subir Archivos, hacer clic en la zona de carga o arrastrar archivos. Formatos admitidos: PDF, XLS, XLSX, XLSM, DOCX, CSV, JPG, JPEG, PNG y WEBP; máximo 50 MB por archivo.</w:t>
      </w:r>
    </w:p>
    <w:p>
      <w:pPr>
        <w:spacing w:after="60"/>
        <w:ind w:left="403" w:hanging="403"/>
      </w:pPr>
      <w:r>
        <w:t>4. Opcionalmente completar el CUIT del proveedor. Revisar la lista de archivos y quitar cualquier archivo equivocado antes de iniciar.</w:t>
      </w:r>
    </w:p>
    <w:p>
      <w:pPr>
        <w:spacing w:after="60"/>
        <w:ind w:left="403" w:hanging="403"/>
      </w:pPr>
      <w:r>
        <w:t>5. Seleccionar Extraer con IA. XLS/XLSX/XLSM/CSV se procesan localmente; PDF y DOCX usan extracción de texto/tablas y solo llaman a Anthropic si está habilitado; las imágenes requieren IA externa.</w:t>
      </w:r>
    </w:p>
    <w:p>
      <w:pPr>
        <w:spacing w:after="60"/>
        <w:ind w:left="403" w:hanging="403"/>
      </w:pPr>
      <w:r>
        <w:t>6. Esperar el estado Completado. Si aparece un error, revisar el mensaje y pedir ayuda al administrador; no volver a subir documentos confidenciales a servicios externos.</w:t>
      </w:r>
    </w:p>
    <w:p>
      <w:pPr>
        <w:spacing w:after="60"/>
        <w:ind w:left="403" w:hanging="403"/>
      </w:pPr>
      <w:r>
        <w:t>7. En Resultados, revisar cantidad de filas, calidad, advertencias, precios vacíos y filas enviadas a revisión. Comparar códigos y precios con el original, especialmente cuando la calidad sea baja o el documento esté escaneado.</w:t>
      </w:r>
    </w:p>
    <w:p>
      <w:pPr>
        <w:spacing w:after="60"/>
        <w:ind w:left="403" w:hanging="403"/>
      </w:pPr>
      <w:r>
        <w:t>8. Cuando el resultado sea aceptable, elegir Descargar XLS o Descargar XLSX y guardar la planilla en la ubicación corporativa autorizada. Validar una muestra antes de importarla al sistema de compras.</w:t>
      </w:r>
    </w:p>
    <w:p>
      <w:pPr>
        <w:spacing w:after="60"/>
        <w:ind w:left="403" w:hanging="403"/>
      </w:pPr>
      <w:r>
        <w:t>9. Al terminar, cerrar sesión y borrar de la lista los archivos que ya no necesite procesar. PriceBot no conserva el historial de resultados por defecto.</w:t>
      </w:r>
    </w:p>
    <w:p>
      <w:pPr>
        <w:pStyle w:val="Heading1"/>
      </w:pPr>
      <w:r>
        <w:t>Uso diario y soporte</w:t>
      </w:r>
    </w:p>
    <w:p>
      <w:pPr>
        <w:spacing w:after="60"/>
        <w:ind w:left="403" w:hanging="403"/>
      </w:pPr>
      <w:r>
        <w:t>1. Administración inicia PriceBot y comprueba /health antes del comienzo de la jornada.</w:t>
      </w:r>
    </w:p>
    <w:p>
      <w:pPr>
        <w:spacing w:after="60"/>
        <w:ind w:left="403" w:hanging="403"/>
      </w:pPr>
      <w:r>
        <w:t>2. Usuarios reportan fallas con hora aproximada y tipo de archivo, sin adjuntar listas confidenciales.</w:t>
      </w:r>
    </w:p>
    <w:p>
      <w:pPr>
        <w:spacing w:after="60"/>
        <w:ind w:left="403" w:hanging="403"/>
      </w:pPr>
      <w:r>
        <w:t>3. Administración revisa Gmail, Billing/Usage de Anthropic y costs_log.jsonl; no usar el costo estimado local como saldo contable.</w:t>
      </w:r>
    </w:p>
    <w:p>
      <w:pPr>
        <w:spacing w:after="60"/>
        <w:ind w:left="403" w:hanging="403"/>
      </w:pPr>
      <w:r>
        <w:t>4. Al cerrar la jornada, asegurar respaldos cifrados de .env y users.db según la política de TI.</w:t>
      </w:r>
    </w:p>
    <w:p>
      <w:pPr>
        <w:pStyle w:val="Heading2"/>
      </w:pPr>
      <w:r>
        <w:t>Formatos y tratamiento de datos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val="true"/>
          <w:cantSplit/>
        </w:trPr>
        <w:tc>
          <w:tcPr>
            <w:tcW w:type="dxa" w:w="1656"/>
            <w:shd w:fill="183B56"/>
            <w:tcMar>
              <w:top w:w="110" w:type="dxa"/>
              <w:start w:w="110" w:type="dxa"/>
              <w:bottom w:w="110" w:type="dxa"/>
              <w:end w:w="110" w:type="dxa"/>
            </w:tcMar>
            <w:vAlign w:val="center"/>
          </w:tcPr>
          <w:p>
            <w:pPr>
              <w:jc w:val="center"/>
            </w:pPr>
            <w:r>
              <w:rPr>
                <w:b/>
                <w:color w:val="FFFFFF"/>
                <w:sz w:val="19"/>
              </w:rPr>
              <w:t>Formato</w:t>
            </w:r>
          </w:p>
        </w:tc>
        <w:tc>
          <w:tcPr>
            <w:tcW w:type="dxa" w:w="3096"/>
            <w:shd w:fill="183B56"/>
            <w:tcMar>
              <w:top w:w="110" w:type="dxa"/>
              <w:start w:w="110" w:type="dxa"/>
              <w:bottom w:w="110" w:type="dxa"/>
              <w:end w:w="110" w:type="dxa"/>
            </w:tcMar>
            <w:vAlign w:val="center"/>
          </w:tcPr>
          <w:p>
            <w:pPr>
              <w:jc w:val="center"/>
            </w:pPr>
            <w:r>
              <w:rPr>
                <w:b/>
                <w:color w:val="FFFFFF"/>
                <w:sz w:val="19"/>
              </w:rPr>
              <w:t>Procesamiento</w:t>
            </w:r>
          </w:p>
        </w:tc>
        <w:tc>
          <w:tcPr>
            <w:tcW w:type="dxa" w:w="1944"/>
            <w:shd w:fill="183B56"/>
            <w:tcMar>
              <w:top w:w="110" w:type="dxa"/>
              <w:start w:w="110" w:type="dxa"/>
              <w:bottom w:w="110" w:type="dxa"/>
              <w:end w:w="110" w:type="dxa"/>
            </w:tcMar>
            <w:vAlign w:val="center"/>
          </w:tcPr>
          <w:p>
            <w:pPr>
              <w:jc w:val="center"/>
            </w:pPr>
            <w:r>
              <w:rPr>
                <w:b/>
                <w:color w:val="FFFFFF"/>
                <w:sz w:val="19"/>
              </w:rPr>
              <w:t>IA externa</w:t>
            </w:r>
          </w:p>
        </w:tc>
        <w:tc>
          <w:tcPr>
            <w:tcW w:type="dxa" w:w="2952"/>
            <w:shd w:fill="183B56"/>
            <w:tcMar>
              <w:top w:w="110" w:type="dxa"/>
              <w:start w:w="110" w:type="dxa"/>
              <w:bottom w:w="110" w:type="dxa"/>
              <w:end w:w="110" w:type="dxa"/>
            </w:tcMar>
            <w:vAlign w:val="center"/>
          </w:tcPr>
          <w:p>
            <w:pPr>
              <w:jc w:val="center"/>
            </w:pPr>
            <w:r>
              <w:rPr>
                <w:b/>
                <w:color w:val="FFFFFF"/>
                <w:sz w:val="19"/>
              </w:rPr>
              <w:t>Control principal</w:t>
            </w:r>
          </w:p>
        </w:tc>
      </w:tr>
      <w:tr>
        <w:trPr>
          <w:cantSplit/>
        </w:trPr>
        <w:tc>
          <w:tcPr>
            <w:tcW w:type="dxa" w:w="1656"/>
            <w:tcMar>
              <w:top w:w="110" w:type="dxa"/>
              <w:start w:w="110" w:type="dxa"/>
              <w:bottom w:w="110" w:type="dxa"/>
              <w:end w:w="110" w:type="dxa"/>
            </w:tcMar>
            <w:vAlign w:val="center"/>
          </w:tcPr>
          <w:p>
            <w:pPr>
              <w:spacing w:after="0"/>
            </w:pPr>
            <w:r>
              <w:rPr>
                <w:sz w:val="19"/>
              </w:rPr>
              <w:t>XLS XLSX XLSM CSV</w:t>
            </w:r>
          </w:p>
        </w:tc>
        <w:tc>
          <w:tcPr>
            <w:tcW w:type="dxa" w:w="3096"/>
            <w:tcMar>
              <w:top w:w="110" w:type="dxa"/>
              <w:start w:w="110" w:type="dxa"/>
              <w:bottom w:w="110" w:type="dxa"/>
              <w:end w:w="110" w:type="dxa"/>
            </w:tcMar>
            <w:vAlign w:val="center"/>
          </w:tcPr>
          <w:p>
            <w:pPr>
              <w:spacing w:after="0"/>
            </w:pPr>
            <w:r>
              <w:rPr>
                <w:sz w:val="19"/>
              </w:rPr>
              <w:t>Local con pandas y librerías de Excel</w:t>
            </w:r>
          </w:p>
        </w:tc>
        <w:tc>
          <w:tcPr>
            <w:tcW w:type="dxa" w:w="1944"/>
            <w:tcMar>
              <w:top w:w="110" w:type="dxa"/>
              <w:start w:w="110" w:type="dxa"/>
              <w:bottom w:w="110" w:type="dxa"/>
              <w:end w:w="110" w:type="dxa"/>
            </w:tcMar>
            <w:vAlign w:val="center"/>
          </w:tcPr>
          <w:p>
            <w:pPr>
              <w:spacing w:after="0"/>
            </w:pPr>
            <w:r>
              <w:rPr>
                <w:sz w:val="19"/>
              </w:rPr>
              <w:t>No por defecto</w:t>
            </w:r>
          </w:p>
        </w:tc>
        <w:tc>
          <w:tcPr>
            <w:tcW w:type="dxa" w:w="2952"/>
            <w:tcMar>
              <w:top w:w="110" w:type="dxa"/>
              <w:start w:w="110" w:type="dxa"/>
              <w:bottom w:w="110" w:type="dxa"/>
              <w:end w:w="110" w:type="dxa"/>
            </w:tcMar>
            <w:vAlign w:val="center"/>
          </w:tcPr>
          <w:p>
            <w:pPr>
              <w:spacing w:after="0"/>
            </w:pPr>
            <w:r>
              <w:rPr>
                <w:sz w:val="19"/>
              </w:rPr>
              <w:t>Firma, estructura ZIP, tamaño y fórmulas de salida</w:t>
            </w:r>
          </w:p>
        </w:tc>
      </w:tr>
      <w:tr>
        <w:trPr>
          <w:cantSplit/>
        </w:trPr>
        <w:tc>
          <w:tcPr>
            <w:tcW w:type="dxa" w:w="1656"/>
            <w:tcMar>
              <w:top w:w="110" w:type="dxa"/>
              <w:start w:w="110" w:type="dxa"/>
              <w:bottom w:w="110" w:type="dxa"/>
              <w:end w:w="110" w:type="dxa"/>
            </w:tcMar>
            <w:vAlign w:val="center"/>
            <w:shd w:fill="EAF3F8"/>
          </w:tcPr>
          <w:p>
            <w:pPr>
              <w:spacing w:after="0"/>
            </w:pPr>
            <w:r>
              <w:rPr>
                <w:sz w:val="19"/>
              </w:rPr>
              <w:t>PDF</w:t>
            </w:r>
          </w:p>
        </w:tc>
        <w:tc>
          <w:tcPr>
            <w:tcW w:type="dxa" w:w="3096"/>
            <w:tcMar>
              <w:top w:w="110" w:type="dxa"/>
              <w:start w:w="110" w:type="dxa"/>
              <w:bottom w:w="110" w:type="dxa"/>
              <w:end w:w="110" w:type="dxa"/>
            </w:tcMar>
            <w:vAlign w:val="center"/>
            <w:shd w:fill="EAF3F8"/>
          </w:tcPr>
          <w:p>
            <w:pPr>
              <w:spacing w:after="0"/>
            </w:pPr>
            <w:r>
              <w:rPr>
                <w:sz w:val="19"/>
              </w:rPr>
              <w:t>Texto tablas y reglas locales; complemento opcional</w:t>
            </w:r>
          </w:p>
        </w:tc>
        <w:tc>
          <w:tcPr>
            <w:tcW w:type="dxa" w:w="1944"/>
            <w:tcMar>
              <w:top w:w="110" w:type="dxa"/>
              <w:start w:w="110" w:type="dxa"/>
              <w:bottom w:w="110" w:type="dxa"/>
              <w:end w:w="110" w:type="dxa"/>
            </w:tcMar>
            <w:vAlign w:val="center"/>
            <w:shd w:fill="EAF3F8"/>
          </w:tcPr>
          <w:p>
            <w:pPr>
              <w:spacing w:after="0"/>
            </w:pPr>
            <w:r>
              <w:rPr>
                <w:sz w:val="19"/>
              </w:rPr>
              <w:t>Solo si está autorizada</w:t>
            </w:r>
          </w:p>
        </w:tc>
        <w:tc>
          <w:tcPr>
            <w:tcW w:type="dxa" w:w="2952"/>
            <w:tcMar>
              <w:top w:w="110" w:type="dxa"/>
              <w:start w:w="110" w:type="dxa"/>
              <w:bottom w:w="110" w:type="dxa"/>
              <w:end w:w="110" w:type="dxa"/>
            </w:tcMar>
            <w:vAlign w:val="center"/>
            <w:shd w:fill="EAF3F8"/>
          </w:tcPr>
          <w:p>
            <w:pPr>
              <w:spacing w:after="0"/>
            </w:pPr>
            <w:r>
              <w:rPr>
                <w:sz w:val="19"/>
              </w:rPr>
              <w:t>Firma, tamaño, páginas y tiempo máximo</w:t>
            </w:r>
          </w:p>
        </w:tc>
      </w:tr>
      <w:tr>
        <w:trPr>
          <w:cantSplit/>
        </w:trPr>
        <w:tc>
          <w:tcPr>
            <w:tcW w:type="dxa" w:w="1656"/>
            <w:tcMar>
              <w:top w:w="110" w:type="dxa"/>
              <w:start w:w="110" w:type="dxa"/>
              <w:bottom w:w="110" w:type="dxa"/>
              <w:end w:w="110" w:type="dxa"/>
            </w:tcMar>
            <w:vAlign w:val="center"/>
          </w:tcPr>
          <w:p>
            <w:pPr>
              <w:spacing w:after="0"/>
            </w:pPr>
            <w:r>
              <w:rPr>
                <w:sz w:val="19"/>
              </w:rPr>
              <w:t>DOCX</w:t>
            </w:r>
          </w:p>
        </w:tc>
        <w:tc>
          <w:tcPr>
            <w:tcW w:type="dxa" w:w="3096"/>
            <w:tcMar>
              <w:top w:w="110" w:type="dxa"/>
              <w:start w:w="110" w:type="dxa"/>
              <w:bottom w:w="110" w:type="dxa"/>
              <w:end w:w="110" w:type="dxa"/>
            </w:tcMar>
            <w:vAlign w:val="center"/>
          </w:tcPr>
          <w:p>
            <w:pPr>
              <w:spacing w:after="0"/>
            </w:pPr>
            <w:r>
              <w:rPr>
                <w:sz w:val="19"/>
              </w:rPr>
              <w:t>Texto y tablas del documento</w:t>
            </w:r>
          </w:p>
        </w:tc>
        <w:tc>
          <w:tcPr>
            <w:tcW w:type="dxa" w:w="1944"/>
            <w:tcMar>
              <w:top w:w="110" w:type="dxa"/>
              <w:start w:w="110" w:type="dxa"/>
              <w:bottom w:w="110" w:type="dxa"/>
              <w:end w:w="110" w:type="dxa"/>
            </w:tcMar>
            <w:vAlign w:val="center"/>
          </w:tcPr>
          <w:p>
            <w:pPr>
              <w:spacing w:after="0"/>
            </w:pPr>
            <w:r>
              <w:rPr>
                <w:sz w:val="19"/>
              </w:rPr>
              <w:t>Solo si está autorizada y hace falta</w:t>
            </w:r>
          </w:p>
        </w:tc>
        <w:tc>
          <w:tcPr>
            <w:tcW w:type="dxa" w:w="2952"/>
            <w:tcMar>
              <w:top w:w="110" w:type="dxa"/>
              <w:start w:w="110" w:type="dxa"/>
              <w:bottom w:w="110" w:type="dxa"/>
              <w:end w:w="110" w:type="dxa"/>
            </w:tcMar>
            <w:vAlign w:val="center"/>
          </w:tcPr>
          <w:p>
            <w:pPr>
              <w:spacing w:after="0"/>
            </w:pPr>
            <w:r>
              <w:rPr>
                <w:sz w:val="19"/>
              </w:rPr>
              <w:t>Estructura Office ZIP y límites de expansión</w:t>
            </w:r>
          </w:p>
        </w:tc>
      </w:tr>
      <w:tr>
        <w:trPr>
          <w:cantSplit/>
        </w:trPr>
        <w:tc>
          <w:tcPr>
            <w:tcW w:type="dxa" w:w="1656"/>
            <w:tcMar>
              <w:top w:w="110" w:type="dxa"/>
              <w:start w:w="110" w:type="dxa"/>
              <w:bottom w:w="110" w:type="dxa"/>
              <w:end w:w="110" w:type="dxa"/>
            </w:tcMar>
            <w:vAlign w:val="center"/>
            <w:shd w:fill="EAF3F8"/>
          </w:tcPr>
          <w:p>
            <w:pPr>
              <w:spacing w:after="0"/>
            </w:pPr>
            <w:r>
              <w:rPr>
                <w:sz w:val="19"/>
              </w:rPr>
              <w:t>JPG JPEG PNG WEBP</w:t>
            </w:r>
          </w:p>
        </w:tc>
        <w:tc>
          <w:tcPr>
            <w:tcW w:type="dxa" w:w="3096"/>
            <w:tcMar>
              <w:top w:w="110" w:type="dxa"/>
              <w:start w:w="110" w:type="dxa"/>
              <w:bottom w:w="110" w:type="dxa"/>
              <w:end w:w="110" w:type="dxa"/>
            </w:tcMar>
            <w:vAlign w:val="center"/>
            <w:shd w:fill="EAF3F8"/>
          </w:tcPr>
          <w:p>
            <w:pPr>
              <w:spacing w:after="0"/>
            </w:pPr>
            <w:r>
              <w:rPr>
                <w:sz w:val="19"/>
              </w:rPr>
              <w:t>Lectura de imagen y visión</w:t>
            </w:r>
          </w:p>
        </w:tc>
        <w:tc>
          <w:tcPr>
            <w:tcW w:type="dxa" w:w="1944"/>
            <w:tcMar>
              <w:top w:w="110" w:type="dxa"/>
              <w:start w:w="110" w:type="dxa"/>
              <w:bottom w:w="110" w:type="dxa"/>
              <w:end w:w="110" w:type="dxa"/>
            </w:tcMar>
            <w:vAlign w:val="center"/>
            <w:shd w:fill="EAF3F8"/>
          </w:tcPr>
          <w:p>
            <w:pPr>
              <w:spacing w:after="0"/>
            </w:pPr>
            <w:r>
              <w:rPr>
                <w:sz w:val="19"/>
              </w:rPr>
              <w:t>Necesaria</w:t>
            </w:r>
          </w:p>
        </w:tc>
        <w:tc>
          <w:tcPr>
            <w:tcW w:type="dxa" w:w="2952"/>
            <w:tcMar>
              <w:top w:w="110" w:type="dxa"/>
              <w:start w:w="110" w:type="dxa"/>
              <w:bottom w:w="110" w:type="dxa"/>
              <w:end w:w="110" w:type="dxa"/>
            </w:tcMar>
            <w:vAlign w:val="center"/>
            <w:shd w:fill="EAF3F8"/>
          </w:tcPr>
          <w:p>
            <w:pPr>
              <w:spacing w:after="0"/>
            </w:pPr>
            <w:r>
              <w:rPr>
                <w:sz w:val="19"/>
              </w:rPr>
              <w:t>Firma, integridad y límite de píxeles</w:t>
            </w:r>
          </w:p>
        </w:tc>
      </w:tr>
    </w:tbl>
    <w:p>
      <w:pPr>
        <w:spacing w:after="40"/>
      </w:pPr>
    </w:p>
    <w:p>
      <w:pPr>
        <w:pStyle w:val="Heading1"/>
      </w:pPr>
      <w:r>
        <w:t>Administración de usuarios</w:t>
      </w:r>
    </w:p>
    <w:p>
      <w:r>
        <w:t>Abrir http://127.0.0.1:3000 en la PC servidor y entrar en la pestaña Usuarios. Esta pestaña y sus endpoints solo aceptan solicitudes cuyo origen real y encabezado Host sean de loopback.</w:t>
      </w:r>
    </w:p>
    <w:p>
      <w:pPr>
        <w:pStyle w:val="Heading2"/>
      </w:pPr>
      <w:r>
        <w:t>Crear un usuario</w:t>
      </w:r>
    </w:p>
    <w:p>
      <w:pPr>
        <w:spacing w:after="60"/>
        <w:ind w:left="403" w:hanging="403"/>
      </w:pPr>
      <w:r>
        <w:t>1. Ingresar el correo y una contraseña inicial de al menos 10 caracteres.</w:t>
      </w:r>
    </w:p>
    <w:p>
      <w:pPr>
        <w:spacing w:after="60"/>
        <w:ind w:left="403" w:hanging="403"/>
      </w:pPr>
      <w:r>
        <w:t>2. Seleccionar Crear y enviar confirmación.</w:t>
      </w:r>
    </w:p>
    <w:p>
      <w:pPr>
        <w:spacing w:after="60"/>
        <w:ind w:left="403" w:hanging="403"/>
      </w:pPr>
      <w:r>
        <w:t>3. Pedir al usuario que abra el enlace recibido dentro de la LAN.</w:t>
      </w:r>
    </w:p>
    <w:p>
      <w:pPr>
        <w:spacing w:after="60"/>
        <w:ind w:left="403" w:hanging="403"/>
      </w:pPr>
      <w:r>
        <w:t>4. Comprobar que el estado cambie de Pendiente a Confirmado.</w:t>
      </w:r>
    </w:p>
    <w:p>
      <w:pPr>
        <w:pStyle w:val="Heading2"/>
      </w:pPr>
      <w:r>
        <w:t>Modificar un usuario</w:t>
      </w:r>
    </w:p>
    <w:p>
      <w:pPr>
        <w:spacing w:after="60"/>
        <w:ind w:left="403" w:hanging="403"/>
      </w:pPr>
      <w:r>
        <w:t>1. Seleccionar Modificar junto al usuario.</w:t>
      </w:r>
    </w:p>
    <w:p>
      <w:pPr>
        <w:spacing w:after="60"/>
        <w:ind w:left="403" w:hanging="403"/>
      </w:pPr>
      <w:r>
        <w:t>2. Cambiar el correo, la contraseña o ambos. Dejar la contraseña vacía para conservarla.</w:t>
      </w:r>
    </w:p>
    <w:p>
      <w:pPr>
        <w:spacing w:after="60"/>
        <w:ind w:left="403" w:hanging="403"/>
      </w:pPr>
      <w:r>
        <w:t>3. Guardar. Un cambio de correo genera una nueva confirmación; un cambio de contraseña cierra las sesiones anteriores.</w:t>
      </w:r>
    </w:p>
    <w:p>
      <w:pPr>
        <w:pStyle w:val="Heading2"/>
      </w:pPr>
      <w:r>
        <w:t>Deshabilitar o eliminar un usuario</w:t>
      </w:r>
    </w:p>
    <w:p>
      <w:pPr>
        <w:pStyle w:val="ListBullet"/>
      </w:pPr>
      <w:r>
        <w:t>Deshabilitar conserva el registro y corta el acceso. Usar esta opción para ausencias o bloqueos temporales.</w:t>
      </w:r>
    </w:p>
    <w:p>
      <w:pPr>
        <w:pStyle w:val="ListBullet"/>
      </w:pPr>
      <w:r>
        <w:t>Eliminar borra definitivamente el registro y revoca el acceso. Usarlo cuando la persona deja de estar autorizada.</w:t>
      </w:r>
    </w:p>
    <w:p>
      <w:pPr>
        <w:pStyle w:val="ListBullet"/>
      </w:pPr>
      <w:r>
        <w:t>Reenviar solo funciona para usuarios pendientes y habilitados.</w:t>
      </w:r>
    </w:p>
    <w:p>
      <w:pPr>
        <w:pStyle w:val="Heading1"/>
      </w:pPr>
      <w:r>
        <w:t>Gestión de tokens cuentas y créditos</w:t>
      </w:r>
    </w:p>
    <w:p>
      <w:pPr>
        <w:pStyle w:val="Heading2"/>
      </w:pPr>
      <w:r>
        <w:t>Clave de Anthropic</w:t>
      </w:r>
    </w:p>
    <w:p>
      <w:pPr>
        <w:spacing w:after="60"/>
        <w:ind w:left="403" w:hanging="403"/>
      </w:pPr>
      <w:r>
        <w:t>1. Ingresar a Claude Platform con una cuenta organizacional y doble factor.</w:t>
      </w:r>
    </w:p>
    <w:p>
      <w:pPr>
        <w:spacing w:after="60"/>
        <w:ind w:left="403" w:hanging="403"/>
      </w:pPr>
      <w:r>
        <w:t>2. Abrir Settings y API keys. Crear una clave identificada como PriceBot servidor.</w:t>
      </w:r>
    </w:p>
    <w:p>
      <w:pPr>
        <w:spacing w:after="60"/>
        <w:ind w:left="403" w:hanging="403"/>
      </w:pPr>
      <w:r>
        <w:t>3. Copiarla una sola vez en ANTHROPIC_API_KEY dentro de pricebot\.env.</w:t>
      </w:r>
    </w:p>
    <w:p>
      <w:pPr>
        <w:spacing w:after="60"/>
        <w:ind w:left="403" w:hanging="403"/>
      </w:pPr>
      <w:r>
        <w:t>4. Establecer PRICEBOT_ALLOW_EXTERNAL_AI=1 únicamente con autorización de tratamiento de datos.</w:t>
      </w:r>
    </w:p>
    <w:p>
      <w:pPr>
        <w:spacing w:after="60"/>
        <w:ind w:left="403" w:hanging="403"/>
      </w:pPr>
      <w:r>
        <w:t>5. Reiniciar PriceBot y ejecutar una prueba no confidencial.</w:t>
      </w:r>
    </w:p>
    <w:p>
      <w:r>
        <w:t>Rotación recomendada: crear una clave nueva, reemplazarla en el servidor, reiniciar, probar y recién entonces revocar la anterior. Si una clave aparece en un chat, correo, captura o repositorio, revocarla inmediatamente.</w:t>
      </w:r>
    </w:p>
    <w:p>
      <w:pPr>
        <w:pStyle w:val="Heading2"/>
      </w:pPr>
      <w:r>
        <w:t>Compra y control de créditos</w:t>
      </w:r>
    </w:p>
    <w:p>
      <w:pPr>
        <w:spacing w:after="60"/>
        <w:ind w:left="403" w:hanging="403"/>
      </w:pPr>
      <w:r>
        <w:t>1. Abrir la página Billing de Claude Platform y revisar la organización seleccionada.</w:t>
      </w:r>
    </w:p>
    <w:p>
      <w:pPr>
        <w:spacing w:after="60"/>
        <w:ind w:left="403" w:hanging="403"/>
      </w:pPr>
      <w:r>
        <w:t>2. Seleccionar Buy credits, definir el importe y confirmar el medio de pago autorizado.</w:t>
      </w:r>
    </w:p>
    <w:p>
      <w:pPr>
        <w:spacing w:after="60"/>
        <w:ind w:left="403" w:hanging="403"/>
      </w:pPr>
      <w:r>
        <w:t>3. Configurar auto reload solo si Administración aprueba el umbral y el monto de recarga.</w:t>
      </w:r>
    </w:p>
    <w:p>
      <w:pPr>
        <w:spacing w:after="60"/>
        <w:ind w:left="403" w:hanging="403"/>
      </w:pPr>
      <w:r>
        <w:t>4. Revisar Usage por modelo y API key, y contrastarlo con costs_log.jsonl del servidor.</w:t>
      </w:r>
    </w:p>
    <w:p>
      <w:r>
        <w:t>Anthropic informa que la API usa créditos prepagados, que las llamadas exitosas consumen saldo y que los créditos comprados vencen un año después y no son reembolsables. Los roles Developer, Billing y Admin pueden consultar uso y costos; asignar el mínimo rol necesario.</w:t>
      </w:r>
    </w:p>
    <w:p>
      <w:pPr>
        <w:pStyle w:val="Heading2"/>
      </w:pPr>
      <w:r>
        <w:t>Correo Gmail para confirmaciones</w:t>
      </w:r>
    </w:p>
    <w:p>
      <w:pPr>
        <w:spacing w:after="60"/>
        <w:ind w:left="403" w:hanging="403"/>
      </w:pPr>
      <w:r>
        <w:t>1. Confirmar que compras@dynamicenergy.com.ar es la cuenta autorizada y mantener activa su verificación en dos pasos.</w:t>
      </w:r>
    </w:p>
    <w:p>
      <w:pPr>
        <w:spacing w:after="60"/>
        <w:ind w:left="403" w:hanging="403"/>
      </w:pPr>
      <w:r>
        <w:t>2. Crear una contraseña de aplicación exclusiva para PriceBot desde Seguridad de Google.</w:t>
      </w:r>
    </w:p>
    <w:p>
      <w:pPr>
        <w:spacing w:after="60"/>
        <w:ind w:left="403" w:hanging="403"/>
      </w:pPr>
      <w:r>
        <w:t>3. En pricebot\.env, configurar SMTP_HOST=smtp.gmail.com, puerto 587, usuario y remitente compras@dynamicenergy.com.ar; habilitar STARTTLS y desactivar SSL.</w:t>
      </w:r>
    </w:p>
    <w:p>
      <w:pPr>
        <w:spacing w:after="60"/>
        <w:ind w:left="403" w:hanging="403"/>
      </w:pPr>
      <w:r>
        <w:t>4. Pegar la contraseña de aplicación sin espacios en PRICEBOT_SMTP_PASSWORD. No usar la contraseña normal de Gmail ni incluirla en este manual.</w:t>
      </w:r>
    </w:p>
    <w:p>
      <w:pPr>
        <w:spacing w:after="60"/>
        <w:ind w:left="403" w:hanging="403"/>
      </w:pPr>
      <w:r>
        <w:t>5. Configurar PRICEBOT_ALERT_EMAIL=compras@dynamicenergy.com.ar, guardar .env como UTF-8 sin BOM y reiniciar PriceBot.</w:t>
      </w:r>
    </w:p>
    <w:p>
      <w:pPr>
        <w:spacing w:after="60"/>
        <w:ind w:left="403" w:hanging="403"/>
      </w:pPr>
      <w:r>
        <w:t>6. Probar el SMTP creando un usuario temporal, confirmar recepción y luego eliminarlo.</w:t>
      </w:r>
    </w:p>
    <w:p>
      <w:r>
        <w:t>Si Google Workspace no ofrece contraseñas de aplicación, solicitar a TI un relay SMTP autorizado; no reducir la seguridad de la cuenta.</w:t>
      </w:r>
    </w:p>
    <w:p>
      <w:pPr>
        <w:pStyle w:val="Heading2"/>
      </w:pPr>
      <w:r>
        <w:t>Alertas y carga de créditos</w:t>
      </w:r>
    </w:p>
    <w:p>
      <w:pPr>
        <w:spacing w:after="60"/>
        <w:ind w:left="403" w:hanging="403"/>
      </w:pPr>
      <w:r>
        <w:t>1. Definir PRICEBOT_AI_MONTHLY_BUDGET_USD en .env con el monto mensual en USD aprobado por Administración; configurar PRICEBOT_AI_BUDGET_ALERT_PERCENT (80 por defecto).</w:t>
      </w:r>
    </w:p>
    <w:p>
      <w:pPr>
        <w:spacing w:after="60"/>
        <w:ind w:left="403" w:hanging="403"/>
      </w:pPr>
      <w:r>
        <w:t>2. Al alcanzar el umbral, PriceBot envía un correo mensual a compras@dynamicenergy.com.ar. El aviso por crédito insuficiente o agotado se envía al detectarlo, con enfriamiento de seis horas.</w:t>
      </w:r>
    </w:p>
    <w:p>
      <w:pPr>
        <w:spacing w:after="60"/>
        <w:ind w:left="403" w:hanging="403"/>
      </w:pPr>
      <w:r>
        <w:t>3. Consultar saldo y uso en Claude Platform &gt; Billing/Usage. Comprar créditos o habilitar auto reload únicamente con aprobación y medio de pago organizacional.</w:t>
      </w:r>
    </w:p>
    <w:p>
      <w:pPr>
        <w:spacing w:after="60"/>
        <w:ind w:left="403" w:hanging="403"/>
      </w:pPr>
      <w:r>
        <w:t>4. Una clave API no es saldo: rotar ANTHROPIC_API_KEY no compra créditos y comprar créditos no cambia la clave.</w:t>
      </w:r>
    </w:p>
    <w:p>
      <w:r>
        <w:t>El umbral es una estimación calculada con tokens y tarifas de costs_log.jsonl. No consulta el saldo real ni frena el consumo. Anthropic no ofrece un endpoint de saldo prepago a esta integración. Presupuesto 0 desactiva el umbral, no la alerta por rechazo de saldo.</w:t>
      </w:r>
    </w:p>
    <w:p>
      <w:pPr>
        <w:pStyle w:val="Heading1"/>
      </w:pPr>
      <w:r>
        <w:t>Archivos de configuración y secretos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val="true"/>
          <w:cantSplit/>
        </w:trPr>
        <w:tc>
          <w:tcPr>
            <w:tcW w:type="dxa" w:w="1800"/>
            <w:shd w:fill="183B56"/>
            <w:tcMar>
              <w:top w:w="110" w:type="dxa"/>
              <w:start w:w="110" w:type="dxa"/>
              <w:bottom w:w="110" w:type="dxa"/>
              <w:end w:w="110" w:type="dxa"/>
            </w:tcMar>
            <w:vAlign w:val="center"/>
          </w:tcPr>
          <w:p>
            <w:pPr>
              <w:jc w:val="center"/>
            </w:pPr>
            <w:r>
              <w:rPr>
                <w:b/>
                <w:color w:val="FFFFFF"/>
                <w:sz w:val="19"/>
              </w:rPr>
              <w:t>Elemento</w:t>
            </w:r>
          </w:p>
        </w:tc>
        <w:tc>
          <w:tcPr>
            <w:tcW w:type="dxa" w:w="3096"/>
            <w:shd w:fill="183B56"/>
            <w:tcMar>
              <w:top w:w="110" w:type="dxa"/>
              <w:start w:w="110" w:type="dxa"/>
              <w:bottom w:w="110" w:type="dxa"/>
              <w:end w:w="110" w:type="dxa"/>
            </w:tcMar>
            <w:vAlign w:val="center"/>
          </w:tcPr>
          <w:p>
            <w:pPr>
              <w:jc w:val="center"/>
            </w:pPr>
            <w:r>
              <w:rPr>
                <w:b/>
                <w:color w:val="FFFFFF"/>
                <w:sz w:val="19"/>
              </w:rPr>
              <w:t>Ubicación</w:t>
            </w:r>
          </w:p>
        </w:tc>
        <w:tc>
          <w:tcPr>
            <w:tcW w:type="dxa" w:w="2088"/>
            <w:shd w:fill="183B56"/>
            <w:tcMar>
              <w:top w:w="110" w:type="dxa"/>
              <w:start w:w="110" w:type="dxa"/>
              <w:bottom w:w="110" w:type="dxa"/>
              <w:end w:w="110" w:type="dxa"/>
            </w:tcMar>
            <w:vAlign w:val="center"/>
          </w:tcPr>
          <w:p>
            <w:pPr>
              <w:jc w:val="center"/>
            </w:pPr>
            <w:r>
              <w:rPr>
                <w:b/>
                <w:color w:val="FFFFFF"/>
                <w:sz w:val="19"/>
              </w:rPr>
              <w:t>Respaldo</w:t>
            </w:r>
          </w:p>
        </w:tc>
        <w:tc>
          <w:tcPr>
            <w:tcW w:type="dxa" w:w="2664"/>
            <w:shd w:fill="183B56"/>
            <w:tcMar>
              <w:top w:w="110" w:type="dxa"/>
              <w:start w:w="110" w:type="dxa"/>
              <w:bottom w:w="110" w:type="dxa"/>
              <w:end w:w="110" w:type="dxa"/>
            </w:tcMar>
            <w:vAlign w:val="center"/>
          </w:tcPr>
          <w:p>
            <w:pPr>
              <w:jc w:val="center"/>
            </w:pPr>
            <w:r>
              <w:rPr>
                <w:b/>
                <w:color w:val="FFFFFF"/>
                <w:sz w:val="19"/>
              </w:rPr>
              <w:t>Regla</w:t>
            </w:r>
          </w:p>
        </w:tc>
      </w:tr>
      <w:tr>
        <w:trPr>
          <w:cantSplit/>
        </w:trPr>
        <w:tc>
          <w:tcPr>
            <w:tcW w:type="dxa" w:w="1800"/>
            <w:tcMar>
              <w:top w:w="110" w:type="dxa"/>
              <w:start w:w="110" w:type="dxa"/>
              <w:bottom w:w="110" w:type="dxa"/>
              <w:end w:w="110" w:type="dxa"/>
            </w:tcMar>
            <w:vAlign w:val="center"/>
          </w:tcPr>
          <w:p>
            <w:pPr>
              <w:spacing w:after="0"/>
            </w:pPr>
            <w:r>
              <w:rPr>
                <w:sz w:val="19"/>
              </w:rPr>
              <w:t>Variables y secretos</w:t>
            </w:r>
          </w:p>
        </w:tc>
        <w:tc>
          <w:tcPr>
            <w:tcW w:type="dxa" w:w="3096"/>
            <w:tcMar>
              <w:top w:w="110" w:type="dxa"/>
              <w:start w:w="110" w:type="dxa"/>
              <w:bottom w:w="110" w:type="dxa"/>
              <w:end w:w="110" w:type="dxa"/>
            </w:tcMar>
            <w:vAlign w:val="center"/>
          </w:tcPr>
          <w:p>
            <w:pPr>
              <w:spacing w:after="0"/>
            </w:pPr>
            <w:r>
              <w:rPr>
                <w:sz w:val="19"/>
              </w:rPr>
              <w:t>pricebot\.env</w:t>
            </w:r>
          </w:p>
        </w:tc>
        <w:tc>
          <w:tcPr>
            <w:tcW w:type="dxa" w:w="2088"/>
            <w:tcMar>
              <w:top w:w="110" w:type="dxa"/>
              <w:start w:w="110" w:type="dxa"/>
              <w:bottom w:w="110" w:type="dxa"/>
              <w:end w:w="110" w:type="dxa"/>
            </w:tcMar>
            <w:vAlign w:val="center"/>
          </w:tcPr>
          <w:p>
            <w:pPr>
              <w:spacing w:after="0"/>
            </w:pPr>
            <w:r>
              <w:rPr>
                <w:sz w:val="19"/>
              </w:rPr>
              <w:t>Gestor seguro o copia cifrada</w:t>
            </w:r>
          </w:p>
        </w:tc>
        <w:tc>
          <w:tcPr>
            <w:tcW w:type="dxa" w:w="2664"/>
            <w:tcMar>
              <w:top w:w="110" w:type="dxa"/>
              <w:start w:w="110" w:type="dxa"/>
              <w:bottom w:w="110" w:type="dxa"/>
              <w:end w:w="110" w:type="dxa"/>
            </w:tcMar>
            <w:vAlign w:val="center"/>
          </w:tcPr>
          <w:p>
            <w:pPr>
              <w:spacing w:after="0"/>
            </w:pPr>
            <w:r>
              <w:rPr>
                <w:sz w:val="19"/>
              </w:rPr>
              <w:t>Nunca subir a Git</w:t>
            </w:r>
          </w:p>
        </w:tc>
      </w:tr>
      <w:tr>
        <w:trPr>
          <w:cantSplit/>
        </w:trPr>
        <w:tc>
          <w:tcPr>
            <w:tcW w:type="dxa" w:w="1800"/>
            <w:tcMar>
              <w:top w:w="110" w:type="dxa"/>
              <w:start w:w="110" w:type="dxa"/>
              <w:bottom w:w="110" w:type="dxa"/>
              <w:end w:w="110" w:type="dxa"/>
            </w:tcMar>
            <w:vAlign w:val="center"/>
            <w:shd w:fill="EAF3F8"/>
          </w:tcPr>
          <w:p>
            <w:pPr>
              <w:spacing w:after="0"/>
            </w:pPr>
            <w:r>
              <w:rPr>
                <w:sz w:val="19"/>
              </w:rPr>
              <w:t>Usuarios</w:t>
            </w:r>
          </w:p>
        </w:tc>
        <w:tc>
          <w:tcPr>
            <w:tcW w:type="dxa" w:w="3096"/>
            <w:tcMar>
              <w:top w:w="110" w:type="dxa"/>
              <w:start w:w="110" w:type="dxa"/>
              <w:bottom w:w="110" w:type="dxa"/>
              <w:end w:w="110" w:type="dxa"/>
            </w:tcMar>
            <w:vAlign w:val="center"/>
            <w:shd w:fill="EAF3F8"/>
          </w:tcPr>
          <w:p>
            <w:pPr>
              <w:spacing w:after="0"/>
            </w:pPr>
            <w:r>
              <w:rPr>
                <w:sz w:val="19"/>
              </w:rPr>
              <w:t>pricebot\api\data\users.db</w:t>
            </w:r>
          </w:p>
        </w:tc>
        <w:tc>
          <w:tcPr>
            <w:tcW w:type="dxa" w:w="2088"/>
            <w:tcMar>
              <w:top w:w="110" w:type="dxa"/>
              <w:start w:w="110" w:type="dxa"/>
              <w:bottom w:w="110" w:type="dxa"/>
              <w:end w:w="110" w:type="dxa"/>
            </w:tcMar>
            <w:vAlign w:val="center"/>
            <w:shd w:fill="EAF3F8"/>
          </w:tcPr>
          <w:p>
            <w:pPr>
              <w:spacing w:after="0"/>
            </w:pPr>
            <w:r>
              <w:rPr>
                <w:sz w:val="19"/>
              </w:rPr>
              <w:t>Copia cifrada periódica</w:t>
            </w:r>
          </w:p>
        </w:tc>
        <w:tc>
          <w:tcPr>
            <w:tcW w:type="dxa" w:w="2664"/>
            <w:tcMar>
              <w:top w:w="110" w:type="dxa"/>
              <w:start w:w="110" w:type="dxa"/>
              <w:bottom w:w="110" w:type="dxa"/>
              <w:end w:w="110" w:type="dxa"/>
            </w:tcMar>
            <w:vAlign w:val="center"/>
            <w:shd w:fill="EAF3F8"/>
          </w:tcPr>
          <w:p>
            <w:pPr>
              <w:spacing w:after="0"/>
            </w:pPr>
            <w:r>
              <w:rPr>
                <w:sz w:val="19"/>
              </w:rPr>
              <w:t>Detener servicio antes de copiar</w:t>
            </w:r>
          </w:p>
        </w:tc>
      </w:tr>
      <w:tr>
        <w:trPr>
          <w:cantSplit/>
        </w:trPr>
        <w:tc>
          <w:tcPr>
            <w:tcW w:type="dxa" w:w="1800"/>
            <w:tcMar>
              <w:top w:w="110" w:type="dxa"/>
              <w:start w:w="110" w:type="dxa"/>
              <w:bottom w:w="110" w:type="dxa"/>
              <w:end w:w="110" w:type="dxa"/>
            </w:tcMar>
            <w:vAlign w:val="center"/>
          </w:tcPr>
          <w:p>
            <w:pPr>
              <w:spacing w:after="0"/>
            </w:pPr>
            <w:r>
              <w:rPr>
                <w:sz w:val="19"/>
              </w:rPr>
              <w:t>Código</w:t>
            </w:r>
          </w:p>
        </w:tc>
        <w:tc>
          <w:tcPr>
            <w:tcW w:type="dxa" w:w="3096"/>
            <w:tcMar>
              <w:top w:w="110" w:type="dxa"/>
              <w:start w:w="110" w:type="dxa"/>
              <w:bottom w:w="110" w:type="dxa"/>
              <w:end w:w="110" w:type="dxa"/>
            </w:tcMar>
            <w:vAlign w:val="center"/>
          </w:tcPr>
          <w:p>
            <w:pPr>
              <w:spacing w:after="0"/>
            </w:pPr>
            <w:r>
              <w:rPr>
                <w:sz w:val="19"/>
              </w:rPr>
              <w:t>Repositorio GitHub</w:t>
            </w:r>
          </w:p>
        </w:tc>
        <w:tc>
          <w:tcPr>
            <w:tcW w:type="dxa" w:w="2088"/>
            <w:tcMar>
              <w:top w:w="110" w:type="dxa"/>
              <w:start w:w="110" w:type="dxa"/>
              <w:bottom w:w="110" w:type="dxa"/>
              <w:end w:w="110" w:type="dxa"/>
            </w:tcMar>
            <w:vAlign w:val="center"/>
          </w:tcPr>
          <w:p>
            <w:pPr>
              <w:spacing w:after="0"/>
            </w:pPr>
            <w:r>
              <w:rPr>
                <w:sz w:val="19"/>
              </w:rPr>
              <w:t>Git</w:t>
            </w:r>
          </w:p>
        </w:tc>
        <w:tc>
          <w:tcPr>
            <w:tcW w:type="dxa" w:w="2664"/>
            <w:tcMar>
              <w:top w:w="110" w:type="dxa"/>
              <w:start w:w="110" w:type="dxa"/>
              <w:bottom w:w="110" w:type="dxa"/>
              <w:end w:w="110" w:type="dxa"/>
            </w:tcMar>
            <w:vAlign w:val="center"/>
          </w:tcPr>
          <w:p>
            <w:pPr>
              <w:spacing w:after="0"/>
            </w:pPr>
            <w:r>
              <w:rPr>
                <w:sz w:val="19"/>
              </w:rPr>
              <w:t>No incluir documentos ni secretos</w:t>
            </w:r>
          </w:p>
        </w:tc>
      </w:tr>
      <w:tr>
        <w:trPr>
          <w:cantSplit/>
        </w:trPr>
        <w:tc>
          <w:tcPr>
            <w:tcW w:type="dxa" w:w="1800"/>
            <w:tcMar>
              <w:top w:w="110" w:type="dxa"/>
              <w:start w:w="110" w:type="dxa"/>
              <w:bottom w:w="110" w:type="dxa"/>
              <w:end w:w="110" w:type="dxa"/>
            </w:tcMar>
            <w:vAlign w:val="center"/>
            <w:shd w:fill="EAF3F8"/>
          </w:tcPr>
          <w:p>
            <w:pPr>
              <w:spacing w:after="0"/>
            </w:pPr>
            <w:r>
              <w:rPr>
                <w:sz w:val="19"/>
              </w:rPr>
              <w:t>Historial de extracción</w:t>
            </w:r>
          </w:p>
        </w:tc>
        <w:tc>
          <w:tcPr>
            <w:tcW w:type="dxa" w:w="3096"/>
            <w:tcMar>
              <w:top w:w="110" w:type="dxa"/>
              <w:start w:w="110" w:type="dxa"/>
              <w:bottom w:w="110" w:type="dxa"/>
              <w:end w:w="110" w:type="dxa"/>
            </w:tcMar>
            <w:vAlign w:val="center"/>
            <w:shd w:fill="EAF3F8"/>
          </w:tcPr>
          <w:p>
            <w:pPr>
              <w:spacing w:after="0"/>
            </w:pPr>
            <w:r>
              <w:rPr>
                <w:sz w:val="19"/>
              </w:rPr>
              <w:t>Desactivado por defecto</w:t>
            </w:r>
          </w:p>
        </w:tc>
        <w:tc>
          <w:tcPr>
            <w:tcW w:type="dxa" w:w="2088"/>
            <w:tcMar>
              <w:top w:w="110" w:type="dxa"/>
              <w:start w:w="110" w:type="dxa"/>
              <w:bottom w:w="110" w:type="dxa"/>
              <w:end w:w="110" w:type="dxa"/>
            </w:tcMar>
            <w:vAlign w:val="center"/>
            <w:shd w:fill="EAF3F8"/>
          </w:tcPr>
          <w:p>
            <w:pPr>
              <w:spacing w:after="0"/>
            </w:pPr>
            <w:r>
              <w:rPr>
                <w:sz w:val="19"/>
              </w:rPr>
              <w:t>No aplica</w:t>
            </w:r>
          </w:p>
        </w:tc>
        <w:tc>
          <w:tcPr>
            <w:tcW w:type="dxa" w:w="2664"/>
            <w:tcMar>
              <w:top w:w="110" w:type="dxa"/>
              <w:start w:w="110" w:type="dxa"/>
              <w:bottom w:w="110" w:type="dxa"/>
              <w:end w:w="110" w:type="dxa"/>
            </w:tcMar>
            <w:vAlign w:val="center"/>
            <w:shd w:fill="EAF3F8"/>
          </w:tcPr>
          <w:p>
            <w:pPr>
              <w:spacing w:after="0"/>
            </w:pPr>
            <w:r>
              <w:rPr>
                <w:sz w:val="19"/>
              </w:rPr>
              <w:t>Activar solo con política de retención</w:t>
            </w:r>
          </w:p>
        </w:tc>
      </w:tr>
      <w:tr>
        <w:trPr>
          <w:cantSplit/>
        </w:trPr>
        <w:tc>
          <w:tcPr>
            <w:tcW w:type="dxa" w:w="1800"/>
            <w:tcMar>
              <w:top w:w="110" w:type="dxa"/>
              <w:start w:w="110" w:type="dxa"/>
              <w:bottom w:w="110" w:type="dxa"/>
              <w:end w:w="110" w:type="dxa"/>
            </w:tcMar>
            <w:vAlign w:val="center"/>
          </w:tcPr>
          <w:p>
            <w:pPr>
              <w:spacing w:after="0"/>
            </w:pPr>
            <w:r>
              <w:rPr>
                <w:sz w:val="19"/>
              </w:rPr>
              <w:t>Costos</w:t>
            </w:r>
          </w:p>
        </w:tc>
        <w:tc>
          <w:tcPr>
            <w:tcW w:type="dxa" w:w="3096"/>
            <w:tcMar>
              <w:top w:w="110" w:type="dxa"/>
              <w:start w:w="110" w:type="dxa"/>
              <w:bottom w:w="110" w:type="dxa"/>
              <w:end w:w="110" w:type="dxa"/>
            </w:tcMar>
            <w:vAlign w:val="center"/>
          </w:tcPr>
          <w:p>
            <w:pPr>
              <w:spacing w:after="0"/>
            </w:pPr>
            <w:r>
              <w:rPr>
                <w:sz w:val="19"/>
              </w:rPr>
              <w:t>costs_log.jsonl</w:t>
            </w:r>
          </w:p>
        </w:tc>
        <w:tc>
          <w:tcPr>
            <w:tcW w:type="dxa" w:w="2088"/>
            <w:tcMar>
              <w:top w:w="110" w:type="dxa"/>
              <w:start w:w="110" w:type="dxa"/>
              <w:bottom w:w="110" w:type="dxa"/>
              <w:end w:w="110" w:type="dxa"/>
            </w:tcMar>
            <w:vAlign w:val="center"/>
          </w:tcPr>
          <w:p>
            <w:pPr>
              <w:spacing w:after="0"/>
            </w:pPr>
            <w:r>
              <w:rPr>
                <w:sz w:val="19"/>
              </w:rPr>
              <w:t>Según política contable</w:t>
            </w:r>
          </w:p>
        </w:tc>
        <w:tc>
          <w:tcPr>
            <w:tcW w:type="dxa" w:w="2664"/>
            <w:tcMar>
              <w:top w:w="110" w:type="dxa"/>
              <w:start w:w="110" w:type="dxa"/>
              <w:bottom w:w="110" w:type="dxa"/>
              <w:end w:w="110" w:type="dxa"/>
            </w:tcMar>
            <w:vAlign w:val="center"/>
          </w:tcPr>
          <w:p>
            <w:pPr>
              <w:spacing w:after="0"/>
            </w:pPr>
            <w:r>
              <w:rPr>
                <w:sz w:val="19"/>
              </w:rPr>
              <w:t>No registrar nombres de archivo</w:t>
            </w:r>
          </w:p>
        </w:tc>
      </w:tr>
    </w:tbl>
    <w:p>
      <w:pPr>
        <w:spacing w:after="40"/>
      </w:pPr>
    </w:p>
    <w:p>
      <w:pPr>
        <w:pStyle w:val="Heading1"/>
      </w:pPr>
      <w:r>
        <w:t>Actualización del sistema</w:t>
      </w:r>
    </w:p>
    <w:p>
      <w:pPr>
        <w:spacing w:after="60"/>
        <w:ind w:left="403" w:hanging="403"/>
      </w:pPr>
      <w:r>
        <w:t>1. Confirmar que no haya una extracción en curso y cerrar PriceBot.</w:t>
      </w:r>
    </w:p>
    <w:p>
      <w:pPr>
        <w:spacing w:after="60"/>
        <w:ind w:left="403" w:hanging="403"/>
      </w:pPr>
      <w:r>
        <w:t>2. Respaldar pricebot\.env y pricebot\api\data\users.db en almacenamiento cifrado.</w:t>
      </w:r>
    </w:p>
    <w:p>
      <w:pPr>
        <w:spacing w:after="60"/>
        <w:ind w:left="403" w:hanging="403"/>
      </w:pPr>
      <w:r>
        <w:t>3. Ejecutar git status. No continuar si aparecen cambios no reconocidos.</w:t>
      </w:r>
    </w:p>
    <w:p>
      <w:pPr>
        <w:spacing w:after="60"/>
        <w:ind w:left="403" w:hanging="403"/>
      </w:pPr>
      <w:r>
        <w:t>4. Ejecutar git pull desde la carpeta de instalación indicada por TI.</w:t>
      </w:r>
    </w:p>
    <w:p>
      <w:pPr>
        <w:spacing w:after="60"/>
        <w:ind w:left="403" w:hanging="403"/>
      </w:pPr>
      <w:r>
        <w:t>5. Si cambiaron dependencias, ejecutar instalar.bat.</w:t>
      </w:r>
    </w:p>
    <w:p>
      <w:pPr>
        <w:spacing w:after="60"/>
        <w:ind w:left="403" w:hanging="403"/>
      </w:pPr>
      <w:r>
        <w:t>6. Iniciar con iniciar-servidor.bat y completar la lista de verificación posterior.</w:t>
      </w:r>
    </w:p>
    <w:p>
      <w:pPr>
        <w:pStyle w:val="Heading1"/>
      </w:pPr>
      <w:r>
        <w:t>Controles de seguridad implementados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cantSplit/>
        </w:trPr>
        <w:tc>
          <w:tcPr>
            <w:tcW w:type="dxa" w:w="2088"/>
            <w:shd w:fill="183B56"/>
            <w:tcMar>
              <w:top w:w="110" w:type="dxa"/>
              <w:start w:w="110" w:type="dxa"/>
              <w:bottom w:w="110" w:type="dxa"/>
              <w:end w:w="110" w:type="dxa"/>
            </w:tcMar>
            <w:vAlign w:val="center"/>
          </w:tcPr>
          <w:p>
            <w:pPr>
              <w:jc w:val="center"/>
            </w:pPr>
            <w:r>
              <w:rPr>
                <w:b/>
                <w:color w:val="FFFFFF"/>
                <w:sz w:val="19"/>
              </w:rPr>
              <w:t>Riesgo</w:t>
            </w:r>
          </w:p>
        </w:tc>
        <w:tc>
          <w:tcPr>
            <w:tcW w:type="dxa" w:w="4680"/>
            <w:shd w:fill="183B56"/>
            <w:tcMar>
              <w:top w:w="110" w:type="dxa"/>
              <w:start w:w="110" w:type="dxa"/>
              <w:bottom w:w="110" w:type="dxa"/>
              <w:end w:w="110" w:type="dxa"/>
            </w:tcMar>
            <w:vAlign w:val="center"/>
          </w:tcPr>
          <w:p>
            <w:pPr>
              <w:jc w:val="center"/>
            </w:pPr>
            <w:r>
              <w:rPr>
                <w:b/>
                <w:color w:val="FFFFFF"/>
                <w:sz w:val="19"/>
              </w:rPr>
              <w:t>Control actual</w:t>
            </w:r>
          </w:p>
        </w:tc>
        <w:tc>
          <w:tcPr>
            <w:tcW w:type="dxa" w:w="2808"/>
            <w:shd w:fill="183B56"/>
            <w:tcMar>
              <w:top w:w="110" w:type="dxa"/>
              <w:start w:w="110" w:type="dxa"/>
              <w:bottom w:w="110" w:type="dxa"/>
              <w:end w:w="110" w:type="dxa"/>
            </w:tcMar>
            <w:vAlign w:val="center"/>
          </w:tcPr>
          <w:p>
            <w:pPr>
              <w:jc w:val="center"/>
            </w:pPr>
            <w:r>
              <w:rPr>
                <w:b/>
                <w:color w:val="FFFFFF"/>
                <w:sz w:val="19"/>
              </w:rPr>
              <w:t>Verificación administrativa</w:t>
            </w:r>
          </w:p>
        </w:tc>
      </w:tr>
      <w:tr>
        <w:trPr>
          <w:cantSplit/>
        </w:trPr>
        <w:tc>
          <w:tcPr>
            <w:tcW w:type="dxa" w:w="2088"/>
            <w:tcMar>
              <w:top w:w="110" w:type="dxa"/>
              <w:start w:w="110" w:type="dxa"/>
              <w:bottom w:w="110" w:type="dxa"/>
              <w:end w:w="110" w:type="dxa"/>
            </w:tcMar>
            <w:vAlign w:val="center"/>
          </w:tcPr>
          <w:p>
            <w:pPr>
              <w:spacing w:after="0"/>
            </w:pPr>
            <w:r>
              <w:rPr>
                <w:sz w:val="19"/>
              </w:rPr>
              <w:t>Acceso no autorizado</w:t>
            </w:r>
          </w:p>
        </w:tc>
        <w:tc>
          <w:tcPr>
            <w:tcW w:type="dxa" w:w="4680"/>
            <w:tcMar>
              <w:top w:w="110" w:type="dxa"/>
              <w:start w:w="110" w:type="dxa"/>
              <w:bottom w:w="110" w:type="dxa"/>
              <w:end w:w="110" w:type="dxa"/>
            </w:tcMar>
            <w:vAlign w:val="center"/>
          </w:tcPr>
          <w:p>
            <w:pPr>
              <w:spacing w:after="0"/>
            </w:pPr>
            <w:r>
              <w:rPr>
                <w:sz w:val="19"/>
              </w:rPr>
              <w:t>Usuarios confirmados, sesiones firmadas, límite de intentos y administración solo local</w:t>
            </w:r>
          </w:p>
        </w:tc>
        <w:tc>
          <w:tcPr>
            <w:tcW w:type="dxa" w:w="2808"/>
            <w:tcMar>
              <w:top w:w="110" w:type="dxa"/>
              <w:start w:w="110" w:type="dxa"/>
              <w:bottom w:w="110" w:type="dxa"/>
              <w:end w:w="110" w:type="dxa"/>
            </w:tcMar>
            <w:vAlign w:val="center"/>
          </w:tcPr>
          <w:p>
            <w:pPr>
              <w:spacing w:after="0"/>
            </w:pPr>
            <w:r>
              <w:rPr>
                <w:sz w:val="19"/>
              </w:rPr>
              <w:t>Revisar usuarios mensualmente</w:t>
            </w:r>
          </w:p>
        </w:tc>
      </w:tr>
      <w:tr>
        <w:trPr>
          <w:cantSplit/>
        </w:trPr>
        <w:tc>
          <w:tcPr>
            <w:tcW w:type="dxa" w:w="2088"/>
            <w:tcMar>
              <w:top w:w="110" w:type="dxa"/>
              <w:start w:w="110" w:type="dxa"/>
              <w:bottom w:w="110" w:type="dxa"/>
              <w:end w:w="110" w:type="dxa"/>
            </w:tcMar>
            <w:vAlign w:val="center"/>
            <w:shd w:fill="EAF3F8"/>
          </w:tcPr>
          <w:p>
            <w:pPr>
              <w:spacing w:after="0"/>
            </w:pPr>
            <w:r>
              <w:rPr>
                <w:sz w:val="19"/>
              </w:rPr>
              <w:t>Sesiones antiguas</w:t>
            </w:r>
          </w:p>
        </w:tc>
        <w:tc>
          <w:tcPr>
            <w:tcW w:type="dxa" w:w="4680"/>
            <w:tcMar>
              <w:top w:w="110" w:type="dxa"/>
              <w:start w:w="110" w:type="dxa"/>
              <w:bottom w:w="110" w:type="dxa"/>
              <w:end w:w="110" w:type="dxa"/>
            </w:tcMar>
            <w:vAlign w:val="center"/>
            <w:shd w:fill="EAF3F8"/>
          </w:tcPr>
          <w:p>
            <w:pPr>
              <w:spacing w:after="0"/>
            </w:pPr>
            <w:r>
              <w:rPr>
                <w:sz w:val="19"/>
              </w:rPr>
              <w:t>Cambio de contraseña, estado o eliminación revoca sesiones</w:t>
            </w:r>
          </w:p>
        </w:tc>
        <w:tc>
          <w:tcPr>
            <w:tcW w:type="dxa" w:w="2808"/>
            <w:tcMar>
              <w:top w:w="110" w:type="dxa"/>
              <w:start w:w="110" w:type="dxa"/>
              <w:bottom w:w="110" w:type="dxa"/>
              <w:end w:w="110" w:type="dxa"/>
            </w:tcMar>
            <w:vAlign w:val="center"/>
            <w:shd w:fill="EAF3F8"/>
          </w:tcPr>
          <w:p>
            <w:pPr>
              <w:spacing w:after="0"/>
            </w:pPr>
            <w:r>
              <w:rPr>
                <w:sz w:val="19"/>
              </w:rPr>
              <w:t>Probar login después de cada cambio</w:t>
            </w:r>
          </w:p>
        </w:tc>
      </w:tr>
      <w:tr>
        <w:trPr>
          <w:cantSplit/>
        </w:trPr>
        <w:tc>
          <w:tcPr>
            <w:tcW w:type="dxa" w:w="2088"/>
            <w:tcMar>
              <w:top w:w="110" w:type="dxa"/>
              <w:start w:w="110" w:type="dxa"/>
              <w:bottom w:w="110" w:type="dxa"/>
              <w:end w:w="110" w:type="dxa"/>
            </w:tcMar>
            <w:vAlign w:val="center"/>
          </w:tcPr>
          <w:p>
            <w:pPr>
              <w:spacing w:after="0"/>
            </w:pPr>
            <w:r>
              <w:rPr>
                <w:sz w:val="19"/>
              </w:rPr>
              <w:t>Archivo falso o malicioso</w:t>
            </w:r>
          </w:p>
        </w:tc>
        <w:tc>
          <w:tcPr>
            <w:tcW w:type="dxa" w:w="4680"/>
            <w:tcMar>
              <w:top w:w="110" w:type="dxa"/>
              <w:start w:w="110" w:type="dxa"/>
              <w:bottom w:w="110" w:type="dxa"/>
              <w:end w:w="110" w:type="dxa"/>
            </w:tcMar>
            <w:vAlign w:val="center"/>
          </w:tcPr>
          <w:p>
            <w:pPr>
              <w:spacing w:after="0"/>
            </w:pPr>
            <w:r>
              <w:rPr>
                <w:sz w:val="19"/>
              </w:rPr>
              <w:t>Extensiones permitidas, firmas, ZIP Office, rutas, cifrado, tamaño, páginas y píxeles</w:t>
            </w:r>
          </w:p>
        </w:tc>
        <w:tc>
          <w:tcPr>
            <w:tcW w:type="dxa" w:w="2808"/>
            <w:tcMar>
              <w:top w:w="110" w:type="dxa"/>
              <w:start w:w="110" w:type="dxa"/>
              <w:bottom w:w="110" w:type="dxa"/>
              <w:end w:w="110" w:type="dxa"/>
            </w:tcMar>
            <w:vAlign w:val="center"/>
          </w:tcPr>
          <w:p>
            <w:pPr>
              <w:spacing w:after="0"/>
            </w:pPr>
            <w:r>
              <w:rPr>
                <w:sz w:val="19"/>
              </w:rPr>
              <w:t>Rechazar archivos inesperados</w:t>
            </w:r>
          </w:p>
        </w:tc>
      </w:tr>
      <w:tr>
        <w:trPr>
          <w:cantSplit/>
        </w:trPr>
        <w:tc>
          <w:tcPr>
            <w:tcW w:type="dxa" w:w="2088"/>
            <w:tcMar>
              <w:top w:w="110" w:type="dxa"/>
              <w:start w:w="110" w:type="dxa"/>
              <w:bottom w:w="110" w:type="dxa"/>
              <w:end w:w="110" w:type="dxa"/>
            </w:tcMar>
            <w:vAlign w:val="center"/>
            <w:shd w:fill="EAF3F8"/>
          </w:tcPr>
          <w:p>
            <w:pPr>
              <w:spacing w:after="0"/>
            </w:pPr>
            <w:r>
              <w:rPr>
                <w:sz w:val="19"/>
              </w:rPr>
              <w:t>Fórmulas al exportar</w:t>
            </w:r>
          </w:p>
        </w:tc>
        <w:tc>
          <w:tcPr>
            <w:tcW w:type="dxa" w:w="4680"/>
            <w:tcMar>
              <w:top w:w="110" w:type="dxa"/>
              <w:start w:w="110" w:type="dxa"/>
              <w:bottom w:w="110" w:type="dxa"/>
              <w:end w:w="110" w:type="dxa"/>
            </w:tcMar>
            <w:vAlign w:val="center"/>
            <w:shd w:fill="EAF3F8"/>
          </w:tcPr>
          <w:p>
            <w:pPr>
              <w:spacing w:after="0"/>
            </w:pPr>
            <w:r>
              <w:rPr>
                <w:sz w:val="19"/>
              </w:rPr>
              <w:t>Neutralización de fórmulas en XLS y XLSX</w:t>
            </w:r>
          </w:p>
        </w:tc>
        <w:tc>
          <w:tcPr>
            <w:tcW w:type="dxa" w:w="2808"/>
            <w:tcMar>
              <w:top w:w="110" w:type="dxa"/>
              <w:start w:w="110" w:type="dxa"/>
              <w:bottom w:w="110" w:type="dxa"/>
              <w:end w:w="110" w:type="dxa"/>
            </w:tcMar>
            <w:vAlign w:val="center"/>
            <w:shd w:fill="EAF3F8"/>
          </w:tcPr>
          <w:p>
            <w:pPr>
              <w:spacing w:after="0"/>
            </w:pPr>
            <w:r>
              <w:rPr>
                <w:sz w:val="19"/>
              </w:rPr>
              <w:t>Abrir muestra en entorno controlado</w:t>
            </w:r>
          </w:p>
        </w:tc>
      </w:tr>
      <w:tr>
        <w:trPr>
          <w:cantSplit/>
        </w:trPr>
        <w:tc>
          <w:tcPr>
            <w:tcW w:type="dxa" w:w="2088"/>
            <w:tcMar>
              <w:top w:w="110" w:type="dxa"/>
              <w:start w:w="110" w:type="dxa"/>
              <w:bottom w:w="110" w:type="dxa"/>
              <w:end w:w="110" w:type="dxa"/>
            </w:tcMar>
            <w:vAlign w:val="center"/>
          </w:tcPr>
          <w:p>
            <w:pPr>
              <w:spacing w:after="0"/>
            </w:pPr>
            <w:r>
              <w:rPr>
                <w:sz w:val="19"/>
              </w:rPr>
              <w:t>Persistencia de información</w:t>
            </w:r>
          </w:p>
        </w:tc>
        <w:tc>
          <w:tcPr>
            <w:tcW w:type="dxa" w:w="4680"/>
            <w:tcMar>
              <w:top w:w="110" w:type="dxa"/>
              <w:start w:w="110" w:type="dxa"/>
              <w:bottom w:w="110" w:type="dxa"/>
              <w:end w:w="110" w:type="dxa"/>
            </w:tcMar>
            <w:vAlign w:val="center"/>
          </w:tcPr>
          <w:p>
            <w:pPr>
              <w:spacing w:after="0"/>
            </w:pPr>
            <w:r>
              <w:rPr>
                <w:sz w:val="19"/>
              </w:rPr>
              <w:t>Historial, nombres y caché desactivados por defecto</w:t>
            </w:r>
          </w:p>
        </w:tc>
        <w:tc>
          <w:tcPr>
            <w:tcW w:type="dxa" w:w="2808"/>
            <w:tcMar>
              <w:top w:w="110" w:type="dxa"/>
              <w:start w:w="110" w:type="dxa"/>
              <w:bottom w:w="110" w:type="dxa"/>
              <w:end w:w="110" w:type="dxa"/>
            </w:tcMar>
            <w:vAlign w:val="center"/>
          </w:tcPr>
          <w:p>
            <w:pPr>
              <w:spacing w:after="0"/>
            </w:pPr>
            <w:r>
              <w:rPr>
                <w:sz w:val="19"/>
              </w:rPr>
              <w:t>Verificar .env después de actualizaciones</w:t>
            </w:r>
          </w:p>
        </w:tc>
      </w:tr>
      <w:tr>
        <w:trPr>
          <w:cantSplit/>
        </w:trPr>
        <w:tc>
          <w:tcPr>
            <w:tcW w:type="dxa" w:w="2088"/>
            <w:tcMar>
              <w:top w:w="110" w:type="dxa"/>
              <w:start w:w="110" w:type="dxa"/>
              <w:bottom w:w="110" w:type="dxa"/>
              <w:end w:w="110" w:type="dxa"/>
            </w:tcMar>
            <w:vAlign w:val="center"/>
            <w:shd w:fill="EAF3F8"/>
          </w:tcPr>
          <w:p>
            <w:pPr>
              <w:spacing w:after="0"/>
            </w:pPr>
            <w:r>
              <w:rPr>
                <w:sz w:val="19"/>
              </w:rPr>
              <w:t>Salida a terceros</w:t>
            </w:r>
          </w:p>
        </w:tc>
        <w:tc>
          <w:tcPr>
            <w:tcW w:type="dxa" w:w="4680"/>
            <w:tcMar>
              <w:top w:w="110" w:type="dxa"/>
              <w:start w:w="110" w:type="dxa"/>
              <w:bottom w:w="110" w:type="dxa"/>
              <w:end w:w="110" w:type="dxa"/>
            </w:tcMar>
            <w:vAlign w:val="center"/>
            <w:shd w:fill="EAF3F8"/>
          </w:tcPr>
          <w:p>
            <w:pPr>
              <w:spacing w:after="0"/>
            </w:pPr>
            <w:r>
              <w:rPr>
                <w:sz w:val="19"/>
              </w:rPr>
              <w:t>IA externa desactivada por defecto</w:t>
            </w:r>
          </w:p>
        </w:tc>
        <w:tc>
          <w:tcPr>
            <w:tcW w:type="dxa" w:w="2808"/>
            <w:tcMar>
              <w:top w:w="110" w:type="dxa"/>
              <w:start w:w="110" w:type="dxa"/>
              <w:bottom w:w="110" w:type="dxa"/>
              <w:end w:w="110" w:type="dxa"/>
            </w:tcMar>
            <w:vAlign w:val="center"/>
            <w:shd w:fill="EAF3F8"/>
          </w:tcPr>
          <w:p>
            <w:pPr>
              <w:spacing w:after="0"/>
            </w:pPr>
            <w:r>
              <w:rPr>
                <w:sz w:val="19"/>
              </w:rPr>
              <w:t>Autorizar por clasificación de datos</w:t>
            </w:r>
          </w:p>
        </w:tc>
      </w:tr>
      <w:tr>
        <w:trPr>
          <w:cantSplit/>
        </w:trPr>
        <w:tc>
          <w:tcPr>
            <w:tcW w:type="dxa" w:w="2088"/>
            <w:tcMar>
              <w:top w:w="110" w:type="dxa"/>
              <w:start w:w="110" w:type="dxa"/>
              <w:bottom w:w="110" w:type="dxa"/>
              <w:end w:w="110" w:type="dxa"/>
            </w:tcMar>
            <w:vAlign w:val="center"/>
          </w:tcPr>
          <w:p>
            <w:pPr>
              <w:spacing w:after="0"/>
            </w:pPr>
            <w:r>
              <w:rPr>
                <w:sz w:val="19"/>
              </w:rPr>
              <w:t>Exposición web</w:t>
            </w:r>
          </w:p>
        </w:tc>
        <w:tc>
          <w:tcPr>
            <w:tcW w:type="dxa" w:w="4680"/>
            <w:tcMar>
              <w:top w:w="110" w:type="dxa"/>
              <w:start w:w="110" w:type="dxa"/>
              <w:bottom w:w="110" w:type="dxa"/>
              <w:end w:w="110" w:type="dxa"/>
            </w:tcMar>
            <w:vAlign w:val="center"/>
          </w:tcPr>
          <w:p>
            <w:pPr>
              <w:spacing w:after="0"/>
            </w:pPr>
            <w:r>
              <w:rPr>
                <w:sz w:val="19"/>
              </w:rPr>
              <w:t>CORS, validación de origen, CSP y cabeceras de seguridad</w:t>
            </w:r>
          </w:p>
        </w:tc>
        <w:tc>
          <w:tcPr>
            <w:tcW w:type="dxa" w:w="2808"/>
            <w:tcMar>
              <w:top w:w="110" w:type="dxa"/>
              <w:start w:w="110" w:type="dxa"/>
              <w:bottom w:w="110" w:type="dxa"/>
              <w:end w:w="110" w:type="dxa"/>
            </w:tcMar>
            <w:vAlign w:val="center"/>
          </w:tcPr>
          <w:p>
            <w:pPr>
              <w:spacing w:after="0"/>
            </w:pPr>
            <w:r>
              <w:rPr>
                <w:sz w:val="19"/>
              </w:rPr>
              <w:t>No ampliar orígenes innecesariamente</w:t>
            </w:r>
          </w:p>
        </w:tc>
      </w:tr>
    </w:tbl>
    <w:p>
      <w:pPr>
        <w:spacing w:after="40"/>
      </w:pPr>
    </w:p>
    <w:p>
      <w:pPr>
        <w:pStyle w:val="Heading1"/>
      </w:pPr>
      <w:r>
        <w:t>Riesgos pendientes y mejoras recomendadas</w:t>
      </w:r>
    </w:p>
    <w:p>
      <w:pPr>
        <w:pStyle w:val="ListBullet"/>
      </w:pPr>
      <w:r>
        <w:t>Prioridad alta: instalar y probar el certificado TLS confiable para frontend y API; hasta entonces, el acceso desde otras PCs permanece bloqueado.</w:t>
      </w:r>
    </w:p>
    <w:p>
      <w:pPr>
        <w:pStyle w:val="ListBullet"/>
      </w:pPr>
      <w:r>
        <w:t>Configurar respaldo cifrado de users.db y una custodia formal de .env.</w:t>
      </w:r>
    </w:p>
    <w:p>
      <w:pPr>
        <w:pStyle w:val="ListBullet"/>
      </w:pPr>
      <w:r>
        <w:t>Asignar propietario y suplente para Claude Platform, Gmail SMTP, GitHub y la PC servidor.</w:t>
      </w:r>
    </w:p>
    <w:p>
      <w:pPr>
        <w:pStyle w:val="ListBullet"/>
      </w:pPr>
      <w:r>
        <w:t>Definir política de retención, clasificación y eliminación de documentos procesados.</w:t>
      </w:r>
    </w:p>
    <w:p>
      <w:pPr>
        <w:pStyle w:val="ListBullet"/>
      </w:pPr>
      <w:r>
        <w:t>Revisar trimestralmente usuarios, claves, créditos, firewall, actualizaciones y registros de costos.</w:t>
      </w:r>
    </w:p>
    <w:p>
      <w:pPr>
        <w:pStyle w:val="Heading1"/>
      </w:pPr>
      <w:r>
        <w:t>Respuesta ante incidentes</w:t>
      </w:r>
    </w:p>
    <w:p>
      <w:pPr>
        <w:spacing w:after="60"/>
        <w:ind w:left="403" w:hanging="403"/>
      </w:pPr>
      <w:r>
        <w:t>1. Detener PriceBot y desconectar el servidor de la red si hay acceso no autorizado o fuga de documentos.</w:t>
      </w:r>
    </w:p>
    <w:p>
      <w:pPr>
        <w:spacing w:after="60"/>
        <w:ind w:left="403" w:hanging="403"/>
      </w:pPr>
      <w:r>
        <w:t>2. Deshabilitar o eliminar los usuarios afectados.</w:t>
      </w:r>
    </w:p>
    <w:p>
      <w:pPr>
        <w:spacing w:after="60"/>
        <w:ind w:left="403" w:hanging="403"/>
      </w:pPr>
      <w:r>
        <w:t>3. Rotar ANTHROPIC_API_KEY, contraseña de aplicación Gmail y PRICEBOT_SESSION_SECRET cuando corresponda.</w:t>
      </w:r>
    </w:p>
    <w:p>
      <w:pPr>
        <w:spacing w:after="60"/>
        <w:ind w:left="403" w:hanging="403"/>
      </w:pPr>
      <w:r>
        <w:t>4. Revisar actividad de Claude Platform, Google, GitHub y Windows.</w:t>
      </w:r>
    </w:p>
    <w:p>
      <w:pPr>
        <w:spacing w:after="60"/>
        <w:ind w:left="403" w:hanging="403"/>
      </w:pPr>
      <w:r>
        <w:t>5. Preservar registros necesarios para investigación sin copiar documentos confidenciales a medios no aprobados.</w:t>
      </w:r>
    </w:p>
    <w:p>
      <w:pPr>
        <w:spacing w:after="60"/>
        <w:ind w:left="403" w:hanging="403"/>
      </w:pPr>
      <w:r>
        <w:t>6. Documentar fecha, alcance, archivos involucrados, acciones y responsable del cierre.</w:t>
      </w:r>
    </w:p>
    <w:p>
      <w:pPr>
        <w:pStyle w:val="Heading1"/>
      </w:pPr>
      <w:r>
        <w:t>Lista de verificación posterior a una actualización</w:t>
      </w:r>
    </w:p>
    <w:p>
      <w:pPr>
        <w:pStyle w:val="ListBullet"/>
      </w:pPr>
      <w:r>
        <w:t>☐ El lanzador inicia backend y frontend sin errores.</w:t>
      </w:r>
    </w:p>
    <w:p>
      <w:pPr>
        <w:pStyle w:val="ListBullet"/>
      </w:pPr>
      <w:r>
        <w:t>☐ La URL local entra como Administrador local sin solicitar contraseña.</w:t>
      </w:r>
    </w:p>
    <w:p>
      <w:pPr>
        <w:pStyle w:val="ListBullet"/>
      </w:pPr>
      <w:r>
        <w:t>☐ La URL LAN solicita correo y contraseña.</w:t>
      </w:r>
    </w:p>
    <w:p>
      <w:pPr>
        <w:pStyle w:val="ListBullet"/>
      </w:pPr>
      <w:r>
        <w:t>☐ Crear, modificar, deshabilitar, habilitar y eliminar usuarios funciona.</w:t>
      </w:r>
    </w:p>
    <w:p>
      <w:pPr>
        <w:pStyle w:val="ListBullet"/>
      </w:pPr>
      <w:r>
        <w:t>☐ El correo de confirmación llega y el enlace usa 192.168.190.146, no 127.0.0.1.</w:t>
      </w:r>
    </w:p>
    <w:p>
      <w:pPr>
        <w:pStyle w:val="ListBullet"/>
      </w:pPr>
      <w:r>
        <w:t>☐ Gmail envía confirmaciones y las alertas llegan a compras@dynamicenergy.com.ar.</w:t>
      </w:r>
    </w:p>
    <w:p>
      <w:pPr>
        <w:pStyle w:val="ListBullet"/>
      </w:pPr>
      <w:r>
        <w:t>☐ HTTP remoto se rechaza y la URL LAN funciona con TLS confiable.</w:t>
      </w:r>
    </w:p>
    <w:p>
      <w:pPr>
        <w:pStyle w:val="ListBullet"/>
      </w:pPr>
      <w:r>
        <w:t>☐ Un archivo pequeño válido se procesa y descarga correctamente.</w:t>
      </w:r>
    </w:p>
    <w:p>
      <w:pPr>
        <w:pStyle w:val="ListBullet"/>
      </w:pPr>
      <w:r>
        <w:t>☐ Un archivo con extensión falsa o tamaño excesivo es rechazado.</w:t>
      </w:r>
    </w:p>
    <w:p>
      <w:pPr>
        <w:pStyle w:val="ListBullet"/>
      </w:pPr>
      <w:r>
        <w:t>☐ La salida coincide con una muestra del documento original.</w:t>
      </w:r>
    </w:p>
    <w:p>
      <w:pPr>
        <w:pStyle w:val="ListBullet"/>
      </w:pPr>
      <w:r>
        <w:t>☐ IA externa solo con saldo aprobado; Git sin documentos ni secretos.</w:t>
      </w:r>
    </w:p>
    <w:sectPr w:rsidR="00FC693F" w:rsidRPr="0006063C" w:rsidSect="00034616">
      <w:footerReference w:type="default" r:id="rId2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t>Manual de administración y operación de PriceBot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20"/>
    </w:rPr>
  </w:style>
  <w:style w:type="paragraph" w:styleId="ListBullet2">
    <w:name w:val="List Bullet 2"/>
    <w:basedOn w:val="Normal"/>
    <w:uiPriority w:val="99"/>
    <w:unhideWhenUsed/>
    <w:rsid w:val="00326F90"/>
    <w:pPr>
      <w:numPr>
        <w:numId w:val="2"/>
      </w:numPr>
      <w:spacing w:after="40"/>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127.0.0.1:3000" TargetMode="External"/><Relationship Id="rId10" Type="http://schemas.openxmlformats.org/officeDocument/2006/relationships/hyperlink" Target="https://192.168.190.146:3000" TargetMode="External"/><Relationship Id="rId11" Type="http://schemas.openxmlformats.org/officeDocument/2006/relationships/hyperlink" Target="https://192.168.190.146:8000/health" TargetMode="External"/><Relationship Id="rId12" Type="http://schemas.openxmlformats.org/officeDocument/2006/relationships/hyperlink" Target="https://github.com/GaryPoui/AnalizadorPlanillas" TargetMode="External"/><Relationship Id="rId13" Type="http://schemas.openxmlformats.org/officeDocument/2006/relationships/hyperlink" Target="https://platform.claude.com/settings/keys" TargetMode="External"/><Relationship Id="rId14" Type="http://schemas.openxmlformats.org/officeDocument/2006/relationships/hyperlink" Target="https://platform.claude.com/settings/billing" TargetMode="External"/><Relationship Id="rId15" Type="http://schemas.openxmlformats.org/officeDocument/2006/relationships/hyperlink" Target="https://platform.claude.com/usage" TargetMode="External"/><Relationship Id="rId16" Type="http://schemas.openxmlformats.org/officeDocument/2006/relationships/hyperlink" Target="https://status.anthropic.com" TargetMode="External"/><Relationship Id="rId17" Type="http://schemas.openxmlformats.org/officeDocument/2006/relationships/hyperlink" Target="https://mail.google.com/" TargetMode="External"/><Relationship Id="rId18" Type="http://schemas.openxmlformats.org/officeDocument/2006/relationships/hyperlink" Target="https://myaccount.google.com/security" TargetMode="External"/><Relationship Id="rId19" Type="http://schemas.openxmlformats.org/officeDocument/2006/relationships/hyperlink" Target="https://myaccount.google.com/apppasswords"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administración y operación de PriceBot</dc:title>
  <dc:subject>Operación, usuarios, accesos, tokens, créditos y seguridad</dc:subject>
  <dc:creator>Área de Administración</dc:creator>
  <cp:keywords>PriceBot administración seguridad usuarios Anthropic</cp:keywords>
  <dc:description>generated by python-docx</dc:description>
  <cp:lastModifiedBy/>
  <cp:revision>1</cp:revision>
  <dcterms:created xsi:type="dcterms:W3CDTF">2013-12-23T23:15:00Z</dcterms:created>
  <dcterms:modified xsi:type="dcterms:W3CDTF">2013-12-23T23:15:00Z</dcterms:modified>
  <cp:category/>
</cp:coreProperties>
</file>