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DE8" w:rsidRPr="00484DE8" w:rsidRDefault="00484DE8" w:rsidP="00484DE8">
      <w:pPr>
        <w:spacing w:after="160" w:line="360" w:lineRule="auto"/>
        <w:ind w:right="709" w:firstLine="708"/>
        <w:jc w:val="both"/>
        <w:rPr>
          <w:b/>
          <w:bCs/>
          <w:sz w:val="26"/>
          <w:szCs w:val="26"/>
        </w:rPr>
      </w:pPr>
      <w:r w:rsidRPr="00484DE8">
        <w:rPr>
          <w:b/>
          <w:bCs/>
          <w:sz w:val="26"/>
          <w:szCs w:val="26"/>
        </w:rPr>
        <w:t>2. Planteamiento de la problemática de la investigación</w:t>
      </w:r>
    </w:p>
    <w:p w:rsidR="00B30BEB" w:rsidRDefault="00BB52B4" w:rsidP="00BB52B4">
      <w:pPr>
        <w:spacing w:after="160" w:line="360" w:lineRule="auto"/>
        <w:ind w:left="708" w:right="709" w:firstLine="702"/>
        <w:jc w:val="both"/>
        <w:rPr>
          <w:bCs/>
          <w:sz w:val="24"/>
          <w:szCs w:val="24"/>
        </w:rPr>
      </w:pPr>
      <w:bookmarkStart w:id="0" w:name="_GoBack"/>
      <w:bookmarkEnd w:id="0"/>
      <w:r w:rsidRPr="00BB52B4">
        <w:rPr>
          <w:bCs/>
          <w:sz w:val="24"/>
          <w:szCs w:val="24"/>
        </w:rPr>
        <w:t>Antes de iniciar la sección 2, recordamos al lector que nuestro TIF se denomina "La anorexia y la bulimia en la adolescencia". Se puede decir entonces que las temáticas específicas que desarrollaremos son: los trastornos de la conduc</w:t>
      </w:r>
      <w:r w:rsidR="00C65E6F">
        <w:rPr>
          <w:bCs/>
          <w:sz w:val="24"/>
          <w:szCs w:val="24"/>
        </w:rPr>
        <w:t xml:space="preserve">ta alimentaria en adolescentes </w:t>
      </w:r>
      <w:r w:rsidRPr="00BB52B4">
        <w:rPr>
          <w:bCs/>
          <w:sz w:val="24"/>
          <w:szCs w:val="24"/>
        </w:rPr>
        <w:t>con foco en la anorexia y la bu</w:t>
      </w:r>
      <w:r w:rsidR="00C65E6F">
        <w:rPr>
          <w:bCs/>
          <w:sz w:val="24"/>
          <w:szCs w:val="24"/>
        </w:rPr>
        <w:t>limia</w:t>
      </w:r>
      <w:r w:rsidRPr="00BB52B4">
        <w:rPr>
          <w:bCs/>
          <w:sz w:val="24"/>
          <w:szCs w:val="24"/>
        </w:rPr>
        <w:t>, sus causas de orden familiar, social y psicológico, sus consecuencias físicas y mentales, el rol del entorno social y las redes sociales en la construcción de la imagen corporal, y las estrategias de prevención e intervención disponibles en el contexto argentino.</w:t>
      </w:r>
    </w:p>
    <w:p w:rsidR="00BB52B4" w:rsidRPr="00BB52B4" w:rsidRDefault="00BB52B4" w:rsidP="00BB52B4">
      <w:pPr>
        <w:spacing w:after="160" w:line="360" w:lineRule="auto"/>
        <w:ind w:left="708" w:right="709" w:firstLine="702"/>
        <w:jc w:val="both"/>
        <w:rPr>
          <w:bCs/>
          <w:sz w:val="24"/>
          <w:szCs w:val="24"/>
        </w:rPr>
      </w:pPr>
    </w:p>
    <w:p w:rsidR="00B30BEB" w:rsidRPr="00D63765" w:rsidRDefault="00484DE8" w:rsidP="00B30BEB">
      <w:pPr>
        <w:spacing w:after="160" w:line="360" w:lineRule="auto"/>
        <w:ind w:right="709" w:firstLine="708"/>
        <w:jc w:val="both"/>
        <w:rPr>
          <w:b/>
          <w:bCs/>
          <w:i/>
          <w:sz w:val="24"/>
          <w:szCs w:val="24"/>
        </w:rPr>
      </w:pPr>
      <w:r w:rsidRPr="00D63765">
        <w:rPr>
          <w:b/>
          <w:bCs/>
          <w:i/>
          <w:sz w:val="24"/>
          <w:szCs w:val="24"/>
        </w:rPr>
        <w:t>2.1. Objetivos de la investigación</w:t>
      </w:r>
    </w:p>
    <w:p w:rsidR="00484DE8" w:rsidRPr="00D63765" w:rsidRDefault="00484DE8" w:rsidP="00D63765">
      <w:pPr>
        <w:spacing w:after="160" w:line="360" w:lineRule="auto"/>
        <w:ind w:right="709" w:firstLine="708"/>
        <w:jc w:val="both"/>
        <w:rPr>
          <w:b/>
          <w:bCs/>
          <w:i/>
          <w:sz w:val="24"/>
          <w:szCs w:val="24"/>
        </w:rPr>
      </w:pPr>
      <w:r w:rsidRPr="00D63765">
        <w:rPr>
          <w:b/>
          <w:bCs/>
          <w:i/>
          <w:sz w:val="24"/>
          <w:szCs w:val="24"/>
        </w:rPr>
        <w:t>Objetivo general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Analizar los factores psicológicos, sociales y físicos asociados a la anorexia nerviosa y la bulimia nerviosa en adolescentes, con el propósito de contribuir a una comprensión más completa de estos trastornos y a su prevención en el contexto argentino.</w:t>
      </w:r>
    </w:p>
    <w:p w:rsidR="00B30BEB" w:rsidRPr="00D63765" w:rsidRDefault="00B30BEB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</w:p>
    <w:p w:rsidR="00484DE8" w:rsidRPr="00D63765" w:rsidRDefault="00484DE8" w:rsidP="00D63765">
      <w:pPr>
        <w:spacing w:after="160" w:line="360" w:lineRule="auto"/>
        <w:ind w:right="709" w:firstLine="708"/>
        <w:jc w:val="both"/>
        <w:rPr>
          <w:b/>
          <w:bCs/>
          <w:i/>
          <w:sz w:val="24"/>
          <w:szCs w:val="24"/>
        </w:rPr>
      </w:pPr>
      <w:r w:rsidRPr="00D63765">
        <w:rPr>
          <w:b/>
          <w:bCs/>
          <w:i/>
          <w:sz w:val="24"/>
          <w:szCs w:val="24"/>
        </w:rPr>
        <w:t>Objetivos específicos</w:t>
      </w:r>
    </w:p>
    <w:p w:rsidR="00484DE8" w:rsidRPr="00D63765" w:rsidRDefault="00484DE8" w:rsidP="00484DE8">
      <w:pPr>
        <w:numPr>
          <w:ilvl w:val="0"/>
          <w:numId w:val="12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Identificar las principales causas de orden familiar, social y psicológico que contribuyen al desarrollo de la anorexia y la bulimia en la adolescencia.</w:t>
      </w:r>
    </w:p>
    <w:p w:rsidR="00484DE8" w:rsidRPr="00D63765" w:rsidRDefault="00484DE8" w:rsidP="00484DE8">
      <w:pPr>
        <w:numPr>
          <w:ilvl w:val="0"/>
          <w:numId w:val="12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Describir las consecuencias físicas y psicológicas de ambos trastornos en la población adolescente.</w:t>
      </w:r>
    </w:p>
    <w:p w:rsidR="00484DE8" w:rsidRPr="00D63765" w:rsidRDefault="00484DE8" w:rsidP="00484DE8">
      <w:pPr>
        <w:numPr>
          <w:ilvl w:val="0"/>
          <w:numId w:val="12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Reflexionar sobre las estrategias de prevención e intervención temprana disponibles para abordar estas problemáticas.</w:t>
      </w:r>
    </w:p>
    <w:p w:rsidR="00484DE8" w:rsidRPr="00D63765" w:rsidRDefault="00484DE8" w:rsidP="00484DE8">
      <w:pPr>
        <w:numPr>
          <w:ilvl w:val="0"/>
          <w:numId w:val="12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Examinar el papel del entorno social y familiar en la construcción de la imagen corporal en jóvenes.</w:t>
      </w:r>
    </w:p>
    <w:p w:rsidR="00B30BEB" w:rsidRPr="00D63765" w:rsidRDefault="00B30BEB" w:rsidP="00D63765">
      <w:pPr>
        <w:spacing w:after="160" w:line="360" w:lineRule="auto"/>
        <w:ind w:left="720" w:right="709"/>
        <w:jc w:val="both"/>
        <w:rPr>
          <w:i/>
          <w:sz w:val="24"/>
          <w:szCs w:val="24"/>
        </w:rPr>
      </w:pPr>
    </w:p>
    <w:p w:rsidR="00484DE8" w:rsidRPr="00D63765" w:rsidRDefault="00484DE8" w:rsidP="00D63765">
      <w:pPr>
        <w:spacing w:after="160" w:line="360" w:lineRule="auto"/>
        <w:ind w:right="709" w:firstLine="708"/>
        <w:jc w:val="both"/>
        <w:rPr>
          <w:b/>
          <w:bCs/>
          <w:i/>
          <w:sz w:val="24"/>
          <w:szCs w:val="24"/>
        </w:rPr>
      </w:pPr>
      <w:r w:rsidRPr="00D63765">
        <w:rPr>
          <w:b/>
          <w:bCs/>
          <w:i/>
          <w:sz w:val="24"/>
          <w:szCs w:val="24"/>
        </w:rPr>
        <w:t>2.2. Preguntas de investigación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A partir de los objetivos planteados, la presente investigación se organiza en torno a las siguientes preguntas:</w:t>
      </w:r>
    </w:p>
    <w:p w:rsidR="00484DE8" w:rsidRPr="00D63765" w:rsidRDefault="00484DE8" w:rsidP="00484DE8">
      <w:pPr>
        <w:numPr>
          <w:ilvl w:val="0"/>
          <w:numId w:val="14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lastRenderedPageBreak/>
        <w:t>¿Cuáles son los principales factores familiares, sociales y psicológicos que predisponen a los adolescentes al desarrollo de la anorexia y la bulimia?</w:t>
      </w:r>
    </w:p>
    <w:p w:rsidR="00484DE8" w:rsidRPr="00D63765" w:rsidRDefault="00484DE8" w:rsidP="00484DE8">
      <w:pPr>
        <w:numPr>
          <w:ilvl w:val="0"/>
          <w:numId w:val="14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¿De qué manera se manifiestan clínicamente ambos trastornos y cuáles son sus consecuencias físicas y psicológicas más frecuentes en la población adolescente?</w:t>
      </w:r>
    </w:p>
    <w:p w:rsidR="00484DE8" w:rsidRPr="00D63765" w:rsidRDefault="00484DE8" w:rsidP="00484DE8">
      <w:pPr>
        <w:numPr>
          <w:ilvl w:val="0"/>
          <w:numId w:val="14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¿Qué rol cumple el entorno social —en particular las redes sociales— en la construcción de la imagen corporal de los jóvenes y en el desarrollo de estos trastornos?</w:t>
      </w:r>
    </w:p>
    <w:p w:rsidR="00484DE8" w:rsidRPr="00D63765" w:rsidRDefault="00484DE8" w:rsidP="00484DE8">
      <w:pPr>
        <w:numPr>
          <w:ilvl w:val="0"/>
          <w:numId w:val="14"/>
        </w:numPr>
        <w:spacing w:after="160" w:line="360" w:lineRule="auto"/>
        <w:ind w:right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¿Cuáles son las estrategias de intervención y prevención más eficaces para abordar la anorexia y la bulimia en la adolescencia?</w:t>
      </w:r>
    </w:p>
    <w:p w:rsidR="00B30BEB" w:rsidRPr="00D63765" w:rsidRDefault="00B30BEB" w:rsidP="00484DE8">
      <w:pPr>
        <w:spacing w:after="160" w:line="360" w:lineRule="auto"/>
        <w:ind w:left="709" w:right="709" w:firstLine="709"/>
        <w:jc w:val="both"/>
        <w:rPr>
          <w:b/>
          <w:bCs/>
          <w:i/>
          <w:sz w:val="24"/>
          <w:szCs w:val="24"/>
        </w:rPr>
      </w:pPr>
    </w:p>
    <w:p w:rsidR="00484DE8" w:rsidRPr="00D63765" w:rsidRDefault="00484DE8" w:rsidP="00D63765">
      <w:pPr>
        <w:spacing w:after="160" w:line="360" w:lineRule="auto"/>
        <w:ind w:right="709" w:firstLine="708"/>
        <w:jc w:val="both"/>
        <w:rPr>
          <w:b/>
          <w:bCs/>
          <w:i/>
          <w:sz w:val="24"/>
          <w:szCs w:val="24"/>
        </w:rPr>
      </w:pPr>
      <w:r w:rsidRPr="00D63765">
        <w:rPr>
          <w:b/>
          <w:bCs/>
          <w:i/>
          <w:sz w:val="24"/>
          <w:szCs w:val="24"/>
        </w:rPr>
        <w:t>2.3. Justificación relativa y viabilidad de la investigación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Esta investigación se justifica por la creciente prevalencia de los trastornos de la conducta alimentaria en adolescentes argentinos. La anorexia nerviosa y la bulimia nerviosa se encuentran entre los trastornos que pueden generar consecuencias graves para la salud física y mental de los jóvenes, llegando en los casos más extremos a provocar la muerte. Ante este panorama, comprender mejor sus causas, su desarrollo y las posibilidades de tratamiento resulta importante tanto desde el punto de vista científico como social.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>Desde el punto de vista relativo, abordar esta temática es relevante para el ámbito educativo, ya que permite sensibilizar a la comunidad escolar sobre los factores de riesgo asociados y promover una mirada crítica frente a los cánones de belleza que imponen los medios de comunicación y las redes sociales.</w:t>
      </w:r>
    </w:p>
    <w:p w:rsidR="00484DE8" w:rsidRPr="00D63765" w:rsidRDefault="00484DE8" w:rsidP="00484DE8">
      <w:pPr>
        <w:spacing w:after="160" w:line="360" w:lineRule="auto"/>
        <w:ind w:left="709" w:right="709" w:firstLine="709"/>
        <w:jc w:val="both"/>
        <w:rPr>
          <w:sz w:val="24"/>
          <w:szCs w:val="24"/>
        </w:rPr>
      </w:pPr>
      <w:r w:rsidRPr="00D63765">
        <w:rPr>
          <w:sz w:val="24"/>
          <w:szCs w:val="24"/>
        </w:rPr>
        <w:t xml:space="preserve">En cuanto a la viabilidad, el trabajo es realizable porque se apoya en una metodología de recopilación bibliográfica. La amplia producción científica disponible en bases de datos de acceso abierto —como </w:t>
      </w:r>
      <w:proofErr w:type="spellStart"/>
      <w:r w:rsidRPr="00D63765">
        <w:rPr>
          <w:sz w:val="24"/>
          <w:szCs w:val="24"/>
        </w:rPr>
        <w:t>Scielo</w:t>
      </w:r>
      <w:proofErr w:type="spellEnd"/>
      <w:r w:rsidRPr="00D63765">
        <w:rPr>
          <w:sz w:val="24"/>
          <w:szCs w:val="24"/>
        </w:rPr>
        <w:t xml:space="preserve">, Google Académico, </w:t>
      </w:r>
      <w:proofErr w:type="spellStart"/>
      <w:r w:rsidRPr="00D63765">
        <w:rPr>
          <w:sz w:val="24"/>
          <w:szCs w:val="24"/>
        </w:rPr>
        <w:t>Redalyc</w:t>
      </w:r>
      <w:proofErr w:type="spellEnd"/>
      <w:r w:rsidRPr="00D63765">
        <w:rPr>
          <w:sz w:val="24"/>
          <w:szCs w:val="24"/>
        </w:rPr>
        <w:t xml:space="preserve"> y </w:t>
      </w:r>
      <w:proofErr w:type="spellStart"/>
      <w:r w:rsidRPr="00D63765">
        <w:rPr>
          <w:sz w:val="24"/>
          <w:szCs w:val="24"/>
        </w:rPr>
        <w:t>Dialnet</w:t>
      </w:r>
      <w:proofErr w:type="spellEnd"/>
      <w:r w:rsidRPr="00D63765">
        <w:rPr>
          <w:sz w:val="24"/>
          <w:szCs w:val="24"/>
        </w:rPr>
        <w:t>— garantiza el acceso a fuentes actualizadas y confiables, sin necesidad de trabajo de campo ni recursos económicos significativos. Además, el tiempo disponible para realizar el trabajo permite desarrollar una revisión bibliográfica adecuada y organizada.</w:t>
      </w:r>
    </w:p>
    <w:p w:rsidR="00B30BEB" w:rsidRDefault="00B30BEB" w:rsidP="00484DE8">
      <w:pPr>
        <w:spacing w:after="160" w:line="360" w:lineRule="auto"/>
        <w:ind w:right="709" w:firstLine="708"/>
        <w:jc w:val="both"/>
        <w:rPr>
          <w:b/>
          <w:bCs/>
          <w:sz w:val="26"/>
          <w:szCs w:val="26"/>
        </w:rPr>
      </w:pPr>
    </w:p>
    <w:p w:rsidR="00E5676C" w:rsidRPr="00A45C75" w:rsidRDefault="00E5676C" w:rsidP="000B5EE0">
      <w:pPr>
        <w:spacing w:line="360" w:lineRule="auto"/>
        <w:ind w:left="737"/>
      </w:pPr>
    </w:p>
    <w:sectPr w:rsidR="00E5676C" w:rsidRPr="00A45C75" w:rsidSect="000B5EE0">
      <w:pgSz w:w="11906" w:h="16838"/>
      <w:pgMar w:top="1134" w:right="1134" w:bottom="1134" w:left="1134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83F33"/>
    <w:multiLevelType w:val="hybridMultilevel"/>
    <w:tmpl w:val="745C6D80"/>
    <w:lvl w:ilvl="0" w:tplc="2C6696CE">
      <w:start w:val="1"/>
      <w:numFmt w:val="bullet"/>
      <w:lvlText w:val="•"/>
      <w:lvlJc w:val="left"/>
      <w:pPr>
        <w:ind w:left="720" w:hanging="360"/>
      </w:pPr>
    </w:lvl>
    <w:lvl w:ilvl="1" w:tplc="EB745CD4">
      <w:numFmt w:val="decimal"/>
      <w:lvlText w:val=""/>
      <w:lvlJc w:val="left"/>
    </w:lvl>
    <w:lvl w:ilvl="2" w:tplc="87C41444">
      <w:numFmt w:val="decimal"/>
      <w:lvlText w:val=""/>
      <w:lvlJc w:val="left"/>
    </w:lvl>
    <w:lvl w:ilvl="3" w:tplc="C3563C1A">
      <w:numFmt w:val="decimal"/>
      <w:lvlText w:val=""/>
      <w:lvlJc w:val="left"/>
    </w:lvl>
    <w:lvl w:ilvl="4" w:tplc="FD462482">
      <w:numFmt w:val="decimal"/>
      <w:lvlText w:val=""/>
      <w:lvlJc w:val="left"/>
    </w:lvl>
    <w:lvl w:ilvl="5" w:tplc="DD2ED718">
      <w:numFmt w:val="decimal"/>
      <w:lvlText w:val=""/>
      <w:lvlJc w:val="left"/>
    </w:lvl>
    <w:lvl w:ilvl="6" w:tplc="3AD0CA50">
      <w:numFmt w:val="decimal"/>
      <w:lvlText w:val=""/>
      <w:lvlJc w:val="left"/>
    </w:lvl>
    <w:lvl w:ilvl="7" w:tplc="F69ED3C0">
      <w:numFmt w:val="decimal"/>
      <w:lvlText w:val=""/>
      <w:lvlJc w:val="left"/>
    </w:lvl>
    <w:lvl w:ilvl="8" w:tplc="0CE4FDC6">
      <w:numFmt w:val="decimal"/>
      <w:lvlText w:val=""/>
      <w:lvlJc w:val="left"/>
    </w:lvl>
  </w:abstractNum>
  <w:abstractNum w:abstractNumId="1" w15:restartNumberingAfterBreak="0">
    <w:nsid w:val="0DA5274B"/>
    <w:multiLevelType w:val="hybridMultilevel"/>
    <w:tmpl w:val="44C6E7E8"/>
    <w:lvl w:ilvl="0" w:tplc="2C0A000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9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61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33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5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7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95" w:hanging="360"/>
      </w:pPr>
      <w:rPr>
        <w:rFonts w:ascii="Wingdings" w:hAnsi="Wingdings" w:hint="default"/>
      </w:rPr>
    </w:lvl>
  </w:abstractNum>
  <w:abstractNum w:abstractNumId="2" w15:restartNumberingAfterBreak="0">
    <w:nsid w:val="104F649E"/>
    <w:multiLevelType w:val="hybridMultilevel"/>
    <w:tmpl w:val="B42EC06E"/>
    <w:lvl w:ilvl="0" w:tplc="AFDC3AD8">
      <w:start w:val="1"/>
      <w:numFmt w:val="bullet"/>
      <w:lvlText w:val="●"/>
      <w:lvlJc w:val="left"/>
      <w:pPr>
        <w:ind w:left="720" w:hanging="360"/>
      </w:pPr>
    </w:lvl>
    <w:lvl w:ilvl="1" w:tplc="E9A6277E">
      <w:start w:val="1"/>
      <w:numFmt w:val="bullet"/>
      <w:lvlText w:val="○"/>
      <w:lvlJc w:val="left"/>
      <w:pPr>
        <w:ind w:left="1440" w:hanging="360"/>
      </w:pPr>
    </w:lvl>
    <w:lvl w:ilvl="2" w:tplc="4F329C40">
      <w:start w:val="1"/>
      <w:numFmt w:val="bullet"/>
      <w:lvlText w:val="■"/>
      <w:lvlJc w:val="left"/>
      <w:pPr>
        <w:ind w:left="2160" w:hanging="360"/>
      </w:pPr>
    </w:lvl>
    <w:lvl w:ilvl="3" w:tplc="EE6EBA1C">
      <w:start w:val="1"/>
      <w:numFmt w:val="bullet"/>
      <w:lvlText w:val="●"/>
      <w:lvlJc w:val="left"/>
      <w:pPr>
        <w:ind w:left="2880" w:hanging="360"/>
      </w:pPr>
    </w:lvl>
    <w:lvl w:ilvl="4" w:tplc="5EE4D12E">
      <w:start w:val="1"/>
      <w:numFmt w:val="bullet"/>
      <w:lvlText w:val="○"/>
      <w:lvlJc w:val="left"/>
      <w:pPr>
        <w:ind w:left="3600" w:hanging="360"/>
      </w:pPr>
    </w:lvl>
    <w:lvl w:ilvl="5" w:tplc="6F4ACA38">
      <w:start w:val="1"/>
      <w:numFmt w:val="bullet"/>
      <w:lvlText w:val="■"/>
      <w:lvlJc w:val="left"/>
      <w:pPr>
        <w:ind w:left="4320" w:hanging="360"/>
      </w:pPr>
    </w:lvl>
    <w:lvl w:ilvl="6" w:tplc="51326286">
      <w:start w:val="1"/>
      <w:numFmt w:val="bullet"/>
      <w:lvlText w:val="●"/>
      <w:lvlJc w:val="left"/>
      <w:pPr>
        <w:ind w:left="5040" w:hanging="360"/>
      </w:pPr>
    </w:lvl>
    <w:lvl w:ilvl="7" w:tplc="0ECAE254">
      <w:start w:val="1"/>
      <w:numFmt w:val="bullet"/>
      <w:lvlText w:val="●"/>
      <w:lvlJc w:val="left"/>
      <w:pPr>
        <w:ind w:left="5760" w:hanging="360"/>
      </w:pPr>
    </w:lvl>
    <w:lvl w:ilvl="8" w:tplc="75DE55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B6439A"/>
    <w:multiLevelType w:val="hybridMultilevel"/>
    <w:tmpl w:val="5D142B68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E61165"/>
    <w:multiLevelType w:val="hybridMultilevel"/>
    <w:tmpl w:val="1F124C88"/>
    <w:lvl w:ilvl="0" w:tplc="87BEF5C6">
      <w:start w:val="1"/>
      <w:numFmt w:val="bullet"/>
      <w:lvlText w:val="-"/>
      <w:lvlJc w:val="left"/>
      <w:pPr>
        <w:ind w:left="2829" w:hanging="708"/>
      </w:pPr>
    </w:lvl>
    <w:lvl w:ilvl="1" w:tplc="668ED304">
      <w:numFmt w:val="decimal"/>
      <w:lvlText w:val=""/>
      <w:lvlJc w:val="left"/>
    </w:lvl>
    <w:lvl w:ilvl="2" w:tplc="FCF6FF84">
      <w:numFmt w:val="decimal"/>
      <w:lvlText w:val=""/>
      <w:lvlJc w:val="left"/>
    </w:lvl>
    <w:lvl w:ilvl="3" w:tplc="F1E446C8">
      <w:numFmt w:val="decimal"/>
      <w:lvlText w:val=""/>
      <w:lvlJc w:val="left"/>
    </w:lvl>
    <w:lvl w:ilvl="4" w:tplc="E8C22300">
      <w:numFmt w:val="decimal"/>
      <w:lvlText w:val=""/>
      <w:lvlJc w:val="left"/>
    </w:lvl>
    <w:lvl w:ilvl="5" w:tplc="4074259E">
      <w:numFmt w:val="decimal"/>
      <w:lvlText w:val=""/>
      <w:lvlJc w:val="left"/>
    </w:lvl>
    <w:lvl w:ilvl="6" w:tplc="6602BDCE">
      <w:numFmt w:val="decimal"/>
      <w:lvlText w:val=""/>
      <w:lvlJc w:val="left"/>
    </w:lvl>
    <w:lvl w:ilvl="7" w:tplc="28FE1CF8">
      <w:numFmt w:val="decimal"/>
      <w:lvlText w:val=""/>
      <w:lvlJc w:val="left"/>
    </w:lvl>
    <w:lvl w:ilvl="8" w:tplc="DB48FE2C">
      <w:numFmt w:val="decimal"/>
      <w:lvlText w:val=""/>
      <w:lvlJc w:val="left"/>
    </w:lvl>
  </w:abstractNum>
  <w:abstractNum w:abstractNumId="5" w15:restartNumberingAfterBreak="0">
    <w:nsid w:val="31C74A75"/>
    <w:multiLevelType w:val="hybridMultilevel"/>
    <w:tmpl w:val="53B6E642"/>
    <w:lvl w:ilvl="0" w:tplc="87BEF5C6">
      <w:start w:val="1"/>
      <w:numFmt w:val="bullet"/>
      <w:lvlText w:val="-"/>
      <w:lvlJc w:val="left"/>
      <w:pPr>
        <w:ind w:left="720" w:hanging="360"/>
      </w:pPr>
    </w:lvl>
    <w:lvl w:ilvl="1" w:tplc="EB745CD4">
      <w:numFmt w:val="decimal"/>
      <w:lvlText w:val=""/>
      <w:lvlJc w:val="left"/>
    </w:lvl>
    <w:lvl w:ilvl="2" w:tplc="87C41444">
      <w:numFmt w:val="decimal"/>
      <w:lvlText w:val=""/>
      <w:lvlJc w:val="left"/>
    </w:lvl>
    <w:lvl w:ilvl="3" w:tplc="C3563C1A">
      <w:numFmt w:val="decimal"/>
      <w:lvlText w:val=""/>
      <w:lvlJc w:val="left"/>
    </w:lvl>
    <w:lvl w:ilvl="4" w:tplc="FD462482">
      <w:numFmt w:val="decimal"/>
      <w:lvlText w:val=""/>
      <w:lvlJc w:val="left"/>
    </w:lvl>
    <w:lvl w:ilvl="5" w:tplc="DD2ED718">
      <w:numFmt w:val="decimal"/>
      <w:lvlText w:val=""/>
      <w:lvlJc w:val="left"/>
    </w:lvl>
    <w:lvl w:ilvl="6" w:tplc="3AD0CA50">
      <w:numFmt w:val="decimal"/>
      <w:lvlText w:val=""/>
      <w:lvlJc w:val="left"/>
    </w:lvl>
    <w:lvl w:ilvl="7" w:tplc="F69ED3C0">
      <w:numFmt w:val="decimal"/>
      <w:lvlText w:val=""/>
      <w:lvlJc w:val="left"/>
    </w:lvl>
    <w:lvl w:ilvl="8" w:tplc="0CE4FDC6">
      <w:numFmt w:val="decimal"/>
      <w:lvlText w:val=""/>
      <w:lvlJc w:val="left"/>
    </w:lvl>
  </w:abstractNum>
  <w:abstractNum w:abstractNumId="6" w15:restartNumberingAfterBreak="0">
    <w:nsid w:val="3AE075C7"/>
    <w:multiLevelType w:val="hybridMultilevel"/>
    <w:tmpl w:val="49803B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76954"/>
    <w:multiLevelType w:val="hybridMultilevel"/>
    <w:tmpl w:val="2578B152"/>
    <w:lvl w:ilvl="0" w:tplc="2C0A000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9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61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33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5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7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95" w:hanging="360"/>
      </w:pPr>
      <w:rPr>
        <w:rFonts w:ascii="Wingdings" w:hAnsi="Wingdings" w:hint="default"/>
      </w:rPr>
    </w:lvl>
  </w:abstractNum>
  <w:abstractNum w:abstractNumId="8" w15:restartNumberingAfterBreak="0">
    <w:nsid w:val="40984757"/>
    <w:multiLevelType w:val="hybridMultilevel"/>
    <w:tmpl w:val="0D1072B0"/>
    <w:lvl w:ilvl="0" w:tplc="87BEF5C6">
      <w:start w:val="1"/>
      <w:numFmt w:val="bullet"/>
      <w:lvlText w:val="-"/>
      <w:lvlJc w:val="left"/>
      <w:pPr>
        <w:ind w:left="720" w:hanging="360"/>
      </w:p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11E7D"/>
    <w:multiLevelType w:val="hybridMultilevel"/>
    <w:tmpl w:val="8C90D1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B2C91"/>
    <w:multiLevelType w:val="hybridMultilevel"/>
    <w:tmpl w:val="0036930E"/>
    <w:lvl w:ilvl="0" w:tplc="87BEF5C6">
      <w:start w:val="1"/>
      <w:numFmt w:val="bullet"/>
      <w:lvlText w:val="-"/>
      <w:lvlJc w:val="left"/>
      <w:pPr>
        <w:ind w:left="1068" w:hanging="360"/>
      </w:p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43B3C9D"/>
    <w:multiLevelType w:val="hybridMultilevel"/>
    <w:tmpl w:val="1E96D446"/>
    <w:lvl w:ilvl="0" w:tplc="87BEF5C6">
      <w:start w:val="1"/>
      <w:numFmt w:val="bullet"/>
      <w:lvlText w:val="-"/>
      <w:lvlJc w:val="left"/>
      <w:pPr>
        <w:ind w:left="720" w:hanging="360"/>
      </w:p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9"/>
  </w:num>
  <w:num w:numId="5">
    <w:abstractNumId w:val="7"/>
  </w:num>
  <w:num w:numId="6">
    <w:abstractNumId w:val="3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6"/>
  </w:num>
  <w:num w:numId="12">
    <w:abstractNumId w:val="0"/>
    <w:lvlOverride w:ilvl="0">
      <w:startOverride w:val="1"/>
    </w:lvlOverride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76C"/>
    <w:rsid w:val="00091A42"/>
    <w:rsid w:val="000B5EE0"/>
    <w:rsid w:val="00484DE8"/>
    <w:rsid w:val="00A45C75"/>
    <w:rsid w:val="00B30BEB"/>
    <w:rsid w:val="00B3450A"/>
    <w:rsid w:val="00BB52B4"/>
    <w:rsid w:val="00BD0DA9"/>
    <w:rsid w:val="00C65E6F"/>
    <w:rsid w:val="00CF4069"/>
    <w:rsid w:val="00D63765"/>
    <w:rsid w:val="00E5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268227-44B4-40E1-BFEF-8C27567D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44CB0A5CFB7F469794F3E2F62947AF" ma:contentTypeVersion="3" ma:contentTypeDescription="Crear nuevo documento." ma:contentTypeScope="" ma:versionID="cb1f72ee30e379c8d0b22f69d9fb039c">
  <xsd:schema xmlns:xsd="http://www.w3.org/2001/XMLSchema" xmlns:xs="http://www.w3.org/2001/XMLSchema" xmlns:p="http://schemas.microsoft.com/office/2006/metadata/properties" xmlns:ns2="737e9a22-5258-4949-813c-b0f17db3d986" targetNamespace="http://schemas.microsoft.com/office/2006/metadata/properties" ma:root="true" ma:fieldsID="b3ab1eff0b27783f94b6dbf622b78ed5" ns2:_="">
    <xsd:import namespace="737e9a22-5258-4949-813c-b0f17db3d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e9a22-5258-4949-813c-b0f17db3d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327C42-7F5D-466A-A742-72BD7E5C957F}"/>
</file>

<file path=customXml/itemProps2.xml><?xml version="1.0" encoding="utf-8"?>
<ds:datastoreItem xmlns:ds="http://schemas.openxmlformats.org/officeDocument/2006/customXml" ds:itemID="{A85B7937-597F-4331-A324-F69BEC7A0AA9}"/>
</file>

<file path=customXml/itemProps3.xml><?xml version="1.0" encoding="utf-8"?>
<ds:datastoreItem xmlns:ds="http://schemas.openxmlformats.org/officeDocument/2006/customXml" ds:itemID="{C0783316-B9FF-4277-A17E-1B4B7053E0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9</cp:revision>
  <dcterms:created xsi:type="dcterms:W3CDTF">2026-05-14T22:43:00Z</dcterms:created>
  <dcterms:modified xsi:type="dcterms:W3CDTF">2026-05-16T17:58:00Z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0x0101003E44CB0A5CFB7F469794F3E2F62947AF</vt:lpwstr>
  </property>
</Properties>
</file>