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intelligence2.xml" ContentType="application/vnd.ms-office.intelligence2+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F473D" w14:textId="77777777" w:rsidR="00B64BF9" w:rsidRPr="004E3903" w:rsidRDefault="004E3903">
      <w:pPr>
        <w:keepNext/>
        <w:rPr>
          <w:b/>
          <w:bCs/>
        </w:rPr>
      </w:pPr>
      <w:r>
        <w:rPr>
          <w:b/>
          <w:bCs/>
        </w:rPr>
        <w:t>3. Estado actual del conocimiento</w:t>
      </w:r>
    </w:p>
    <w:p w14:paraId="402E10B5" w14:textId="77777777" w:rsidR="2E90803C" w:rsidRDefault="2E90803C" w:rsidP="13528A3C">
      <w:pPr>
        <w:ind w:firstLine="708"/>
      </w:pPr>
      <w:r>
        <w:rPr>
          <w:rFonts w:ascii="Aptos" w:eastAsia="Aptos" w:hAnsi="Aptos" w:cs="Aptos"/>
        </w:rPr>
        <w:t>Nuestro trabajo de investigación, denominado “La anorexia y la bulimia en la adolescencia”, analiza los factores familiares, sociales y psicológicos asociados a estos trastornos, sus consecuencias y las posibilidades de prevención e intervención en el contexto argentino. Para reconocer qué se conoce sobre el tema, seleccionamos antecedentes que aportan perspectivas clínicas, familiares y socioculturales. El propósito de este apartado es comparar sus objetivos, métodos y resultados, y precisar su utilidad y sus limitaciones para nuestra investigación.</w:t>
      </w:r>
    </w:p>
    <w:p w14:paraId="650F473D" w14:textId="77777777" w:rsidR="00B64BF9" w:rsidRPr="004E3903" w:rsidRDefault="004E3903">
      <w:pPr>
        <w:keepNext/>
        <w:rPr>
          <w:b/>
          <w:bCs/>
        </w:rPr>
      </w:pPr>
      <w:r>
        <w:rPr>
          <w:b/>
          <w:bCs/>
        </w:rPr>
        <w:t>3.1 Actualización clínica de la anorexia nerviosa y la bulimia</w:t>
      </w:r>
    </w:p>
    <w:p w14:paraId="402E10B5" w14:textId="77777777" w:rsidR="2E90803C" w:rsidRDefault="2E90803C" w:rsidP="13528A3C">
      <w:pPr>
        <w:ind w:firstLine="708"/>
      </w:pPr>
      <w:r>
        <w:rPr>
          <w:rFonts w:ascii="Aptos" w:eastAsia="Aptos" w:hAnsi="Aptos" w:cs="Aptos"/>
        </w:rPr>
        <w:t>López-Trujillo, Gómez-Restrepo, Hoyos-Sanabria y Vela-Arbeláez (2026) publicaron en Vertex Revista Argentina de Psiquiatría una revisión narrativa dirigida a actualizar conocimientos sobre causas y tratamiento. Los autores pertenecen a una universidad de Colombia. El trabajo reunió literatura publicada entre 2022 y 2024 mediante búsquedas en PubMed; no investigó una muestra de adolescentes argentinos.</w:t>
      </w:r>
    </w:p>
    <w:p w14:paraId="402E10B5" w14:textId="77777777" w:rsidR="2E90803C" w:rsidRDefault="2E90803C" w:rsidP="13528A3C">
      <w:pPr>
        <w:ind w:firstLine="708"/>
      </w:pPr>
      <w:r>
        <w:rPr>
          <w:rFonts w:ascii="Aptos" w:eastAsia="Aptos" w:hAnsi="Aptos" w:cs="Aptos"/>
        </w:rPr>
        <w:t>La revisión describe la interacción de factores genéticos y ambientales. Señala consecuencias multisistémicas de la anorexia y complicaciones dentales, digestivas e hidroelectrolíticas de la bulimia. Examina intervenciones nutricionales, psicológicas y farmacológicas, y destaca las terapias cognitivo-conductual y familiar, junto con las limitaciones de la evidencia farmacológica, especialmente para la anorexia (López-Trujillo et al., 2026).</w:t>
      </w:r>
    </w:p>
    <w:p w14:paraId="402E10B5" w14:textId="77777777" w:rsidR="2E90803C" w:rsidRDefault="2E90803C" w:rsidP="13528A3C">
      <w:pPr>
        <w:ind w:firstLine="708"/>
      </w:pPr>
      <w:r>
        <w:rPr>
          <w:rFonts w:ascii="Aptos" w:eastAsia="Aptos" w:hAnsi="Aptos" w:cs="Aptos"/>
        </w:rPr>
        <w:t>Este antecedente aporta una síntesis para estudiar consecuencias e intervenciones. Sin embargo, su diseño narrativo y su alcance internacional impiden utilizarlo como una estimación de prevalencia nacional o como prueba de una causa única. En nuestro TIF cumple la función de contextualizar la dimensión clínica, que debe complementarse con investigaciones sobre experiencias y relaciones sociales.</w:t>
      </w:r>
    </w:p>
    <w:p w14:paraId="650F473D" w14:textId="77777777" w:rsidR="00B64BF9" w:rsidRPr="004E3903" w:rsidRDefault="004E3903">
      <w:pPr>
        <w:keepNext/>
        <w:rPr>
          <w:b/>
          <w:bCs/>
        </w:rPr>
      </w:pPr>
      <w:r>
        <w:rPr>
          <w:b/>
          <w:bCs/>
        </w:rPr>
        <w:t>3.2 Experiencias de adolescentes argentinos durante la pandemia</w:t>
      </w:r>
    </w:p>
    <w:p w14:paraId="402E10B5" w14:textId="77777777" w:rsidR="2E90803C" w:rsidRDefault="2E90803C" w:rsidP="13528A3C">
      <w:pPr>
        <w:ind w:firstLine="708"/>
      </w:pPr>
      <w:r>
        <w:rPr>
          <w:rFonts w:ascii="Aptos" w:eastAsia="Aptos" w:hAnsi="Aptos" w:cs="Aptos"/>
        </w:rPr>
        <w:t>López et al. (2024) exploraron los cambios percibidos en vínculos sociales y atención mediante entrevistas en profundidad a 15 adolescentes con TCA atendidos en el Hospital Italiano de Buenos Aires. Las entrevistas se realizaron entre diciembre de 2021 y junio de 2022. La muestra fue por conveniencia: el 93 % eran mujeres, la mediana de edad era de 18 años y predominaba el diagnóstico inicial de anorexia nerviosa.</w:t>
      </w:r>
    </w:p>
    <w:p w14:paraId="402E10B5" w14:textId="77777777" w:rsidR="2E90803C" w:rsidRDefault="2E90803C" w:rsidP="13528A3C">
      <w:pPr>
        <w:ind w:firstLine="708"/>
      </w:pPr>
      <w:r>
        <w:rPr>
          <w:rFonts w:ascii="Aptos" w:eastAsia="Aptos" w:hAnsi="Aptos" w:cs="Aptos"/>
        </w:rPr>
        <w:t>Los participantes mencionaron malestar en la convivencia familiar (80 %) y disconformidad con contenidos sobre imagen corporal y dietas en redes sociales (73 %). También identificaron apoyo entre pares y mejoras en la alimentación. El seguimiento virtual constituyó un cambio importante en la atención (López et al., 2024).</w:t>
      </w:r>
    </w:p>
    <w:p w14:paraId="402E10B5" w14:textId="77777777" w:rsidR="2E90803C" w:rsidRDefault="2E90803C" w:rsidP="13528A3C">
      <w:pPr>
        <w:ind w:firstLine="708"/>
      </w:pPr>
      <w:r>
        <w:rPr>
          <w:rFonts w:ascii="Aptos" w:eastAsia="Aptos" w:hAnsi="Aptos" w:cs="Aptos"/>
        </w:rPr>
        <w:t>Su aporte consiste en recuperar la perspectiva de adolescentes en un contexto local. Como interpretación para nuestro TIF, muestra que conviene examinar tanto experiencias perjudiciales como recursos de apoyo. Sus porcentajes corresponden a esta pequeña muestra clínica, mayoritariamente femenina y con cobertura médica; no representan a todos los adolescentes argentinos ni prueban que la pandemia haya causado los trastornos.</w:t>
      </w:r>
    </w:p>
    <w:p w14:paraId="650F473D" w14:textId="77777777" w:rsidR="00B64BF9" w:rsidRPr="004E3903" w:rsidRDefault="004E3903">
      <w:pPr>
        <w:keepNext/>
        <w:rPr>
          <w:b/>
          <w:bCs/>
        </w:rPr>
      </w:pPr>
      <w:r>
        <w:rPr>
          <w:b/>
          <w:bCs/>
        </w:rPr>
        <w:t>3.3 Redes sociales e ideales de apariencia en adolescentes</w:t>
      </w:r>
    </w:p>
    <w:p w14:paraId="402E10B5" w14:textId="77777777" w:rsidR="2E90803C" w:rsidRDefault="2E90803C" w:rsidP="13528A3C">
      <w:pPr>
        <w:ind w:firstLine="708"/>
      </w:pPr>
      <w:r>
        <w:rPr>
          <w:rFonts w:ascii="Aptos" w:eastAsia="Aptos" w:hAnsi="Aptos" w:cs="Aptos"/>
        </w:rPr>
        <w:t>Dahlgren, Sundgot-Borgen, Kvalem, Wennersberg y Wisting (2024) realizaron un estudio transversal en Noruega con 1558 adolescentes, principalmente de 16 a 19 años. Aplicaron cuestionarios sobre uso de redes sociales, síntomas alimentarios, interiorización de ideales corporales y presión sobre la apariencia. Encontraron asociaciones entre sintomatología alimentaria, ideales de apariencia y presión percibida. El ideal de delgadez predominó en las chicas y el de musculatura en los chicos.</w:t>
      </w:r>
    </w:p>
    <w:p w14:paraId="402E10B5" w14:textId="77777777" w:rsidR="2E90803C" w:rsidRDefault="2E90803C" w:rsidP="13528A3C">
      <w:pPr>
        <w:ind w:firstLine="708"/>
      </w:pPr>
      <w:r>
        <w:rPr>
          <w:rFonts w:ascii="Aptos" w:eastAsia="Aptos" w:hAnsi="Aptos" w:cs="Aptos"/>
        </w:rPr>
        <w:t>El tiempo de uso de redes se correlacionó débilmente con la sintomatología en ambos grupos. Quienes percibían una influencia negativa sobre su apariencia presentaron más síntomas. El diseño transversal no establece qué fenómeno ocurrió primero ni demuestra causalidad (Dahlgren et al., 2024).</w:t>
      </w:r>
    </w:p>
    <w:p w14:paraId="402E10B5" w14:textId="77777777" w:rsidR="2E90803C" w:rsidRDefault="2E90803C" w:rsidP="13528A3C">
      <w:pPr>
        <w:ind w:firstLine="708"/>
      </w:pPr>
      <w:r>
        <w:rPr>
          <w:rFonts w:ascii="Aptos" w:eastAsia="Aptos" w:hAnsi="Aptos" w:cs="Aptos"/>
        </w:rPr>
        <w:t>Este trabajo amplía el eje de imagen corporal del TIF al incluir a chicos y chicas y diferenciar tiempo de uso, presión e ideales. No permite trasladar sus resultados directamente a Argentina. Tampoco debemos equiparar puntuaciones de síntomas con diagnósticos clínicos de anorexia o bulimia. Su comparación con el estudio argentino plantea una pregunta relevante: qué contenidos y experiencias digitales convendría analizar en el contexto local.</w:t>
      </w:r>
    </w:p>
    <w:p w14:paraId="650F473D" w14:textId="77777777" w:rsidR="00B64BF9" w:rsidRPr="004E3903" w:rsidRDefault="004E3903">
      <w:pPr>
        <w:keepNext/>
        <w:rPr>
          <w:b/>
          <w:bCs/>
        </w:rPr>
      </w:pPr>
      <w:r>
        <w:rPr>
          <w:b/>
          <w:bCs/>
        </w:rPr>
        <w:t>3.4 Funcionamiento familiar en jóvenes y adolescentes</w:t>
      </w:r>
    </w:p>
    <w:p w14:paraId="402E10B5" w14:textId="77777777" w:rsidR="2E90803C" w:rsidRDefault="2E90803C" w:rsidP="13528A3C">
      <w:pPr>
        <w:ind w:firstLine="708"/>
      </w:pPr>
      <w:r>
        <w:rPr>
          <w:rFonts w:ascii="Aptos" w:eastAsia="Aptos" w:hAnsi="Aptos" w:cs="Aptos"/>
        </w:rPr>
        <w:t>Camino de Menchaca (2021), en el trabajo académico de la Universidad de Lima incluido entre los materiales de consulta, estudió el funcionamiento familiar y su relación con la anorexia y la bulimia en mujeres jóvenes y adolescentes. Realizó una revisión aplicada de publicaciones entre 2009 y 2021, consultando ProQuest, EBSCO, Psicodoc y Scopus. Consideró dimensiones como la expresión emocional, los patrones de conducta y la resolución de conflictos.</w:t>
      </w:r>
    </w:p>
    <w:p w14:paraId="402E10B5" w14:textId="77777777" w:rsidR="2E90803C" w:rsidRDefault="2E90803C" w:rsidP="13528A3C">
      <w:pPr>
        <w:ind w:firstLine="708"/>
      </w:pPr>
      <w:r>
        <w:rPr>
          <w:rFonts w:ascii="Aptos" w:eastAsia="Aptos" w:hAnsi="Aptos" w:cs="Aptos"/>
        </w:rPr>
        <w:t>La autora presenta a la familia como un posible factor de protección o de riesgo, según las características de sus relaciones y recursos. El antecedente aporta categorías útiles para organizar el análisis de nuestro objetivo referido al entorno familiar. Al tratarse de una revisión académica centrada en mujeres jóvenes y adolescentes, sus conclusiones requieren considerar los diseños y poblaciones de los estudios incluidos. No constituye un relevamiento argentino ni permite responsabilizar de manera general a las familias por el desarrollo de un TCA.</w:t>
      </w:r>
    </w:p>
    <w:p w14:paraId="650F473D" w14:textId="77777777" w:rsidR="00B64BF9" w:rsidRPr="004E3903" w:rsidRDefault="004E3903">
      <w:pPr>
        <w:keepNext/>
        <w:rPr>
          <w:b/>
          <w:bCs/>
        </w:rPr>
      </w:pPr>
      <w:r>
        <w:rPr>
          <w:b/>
          <w:bCs/>
        </w:rPr>
        <w:t>3.5 Comparación de antecedentes y aporte a nuestra investigación</w:t>
      </w:r>
    </w:p>
    <w:p w14:paraId="402E10B5" w14:textId="77777777" w:rsidR="2E90803C" w:rsidRDefault="2E90803C" w:rsidP="13528A3C">
      <w:pPr>
        <w:ind w:firstLine="708"/>
      </w:pPr>
      <w:r>
        <w:rPr>
          <w:rFonts w:ascii="Aptos" w:eastAsia="Aptos" w:hAnsi="Aptos" w:cs="Aptos"/>
        </w:rPr>
        <w:t>Los antecedentes cumplen funciones diferentes. La revisión clínica organiza conocimientos sobre consecuencias y tratamiento; el estudio argentino describe experiencias en una muestra de pacientes; el estudio noruego analiza asociaciones en una población escolar; y el trabajo de Lima aporta categorías para examinar el funcionamiento familiar. Esta diversidad permite conectar los ejes del TIF, pero exige evitar que un resultado obtenido con un método se interprete como si proviniera de otro.</w:t>
      </w:r>
    </w:p>
    <w:p w14:paraId="402E10B5" w14:textId="77777777" w:rsidR="2E90803C" w:rsidRDefault="2E90803C" w:rsidP="13528A3C">
      <w:pPr>
        <w:ind w:firstLine="708"/>
      </w:pPr>
      <w:r>
        <w:rPr>
          <w:rFonts w:ascii="Aptos" w:eastAsia="Aptos" w:hAnsi="Aptos" w:cs="Aptos"/>
        </w:rPr>
        <w:t>Para responder al objetivo sobre factores asociados, distinguimos tres planos: características individuales, relaciones familiares y experiencias socioculturales. Para el objetivo sobre consecuencias, utilizamos la síntesis clínica. Para analizar imagen corporal, comparamos los antecedentes sobre redes. Para reflexionar sobre intervención, consideramos tanto la revisión de tratamientos como las experiencias de atención. Esta organización permite que el estado del conocimiento dialogue con el planteamiento del problema y con el marco teórico.</w:t>
      </w:r>
    </w:p>
    <w:p w14:paraId="402E10B5" w14:textId="77777777" w:rsidR="2E90803C" w:rsidRDefault="2E90803C" w:rsidP="13528A3C">
      <w:pPr>
        <w:ind w:firstLine="708"/>
      </w:pPr>
      <w:r>
        <w:rPr>
          <w:rFonts w:ascii="Aptos" w:eastAsia="Aptos" w:hAnsi="Aptos" w:cs="Aptos"/>
        </w:rPr>
        <w:t>En el conjunto seleccionado quedan límites claros: un estudio clínico local no estima la frecuencia nacional; una investigación transversal no identifica por sí sola causas; y una revisión internacional no demuestra la eficacia de una estrategia en todas las instituciones argentinas. Además, no contamos aquí con una comparación representativa de adolescentes argentinos según género, región y condiciones de acceso a la atención. Estos límites delimitan lo que nuestra recopilación bibliográfica puede afirmar.</w:t>
      </w:r>
    </w:p>
    <w:p w14:paraId="402E10B5" w14:textId="77777777" w:rsidR="2E90803C" w:rsidRDefault="2E90803C" w:rsidP="13528A3C">
      <w:pPr>
        <w:ind w:firstLine="708"/>
      </w:pPr>
      <w:r>
        <w:t>El aporte de nuestro trabajo será integrar estos conocimientos en relación con los objetivos aprobados, diferenciando factores asociados, consecuencias y recursos de apoyo. La síntesis ofrecerá elementos para la reflexión preventiva en el ámbito educativo, dentro del alcance de una recopilación bibliográfica.</w:t>
      </w:r>
    </w:p>
    <w:p w14:paraId="650F473D" w14:textId="77777777" w:rsidR="00B64BF9" w:rsidRPr="004E3903" w:rsidRDefault="004E3903">
      <w:pPr>
        <w:keepNext/>
        <w:rPr>
          <w:b/>
          <w:bCs/>
        </w:rPr>
      </w:pPr>
      <w:r>
        <w:rPr>
          <w:b/>
          <w:bCs/>
        </w:rPr>
        <w:t>3.6 Referencias bibliográficas</w:t>
      </w:r>
    </w:p>
    <w:p w14:paraId="402E10B5" w14:textId="77777777" w:rsidR="2E90803C" w:rsidRDefault="2E90803C" w:rsidP="13528A3C">
      <w:pPr>
        <w:ind w:firstLine="708"/>
      </w:pPr>
      <w:r>
        <w:rPr>
          <w:rFonts w:ascii="Aptos" w:eastAsia="Aptos" w:hAnsi="Aptos" w:cs="Aptos"/>
        </w:rPr>
        <w:t>Camino de Menchaca, M. del C. (2021). Funcionamiento familiar y desarrollo de la bulimia y anorexia nerviosa en mujeres jóvenes y adolescentes [Trabajo de suficiencia profesional, Universidad de Lima]. Material bibliográfico proporcionado para el TIF.</w:t>
      </w:r>
    </w:p>
    <w:p w14:paraId="402E10B5" w14:textId="77777777" w:rsidR="2E90803C" w:rsidRDefault="2E90803C" w:rsidP="13528A3C">
      <w:pPr>
        <w:ind w:firstLine="708"/>
      </w:pPr>
      <w:r>
        <w:rPr>
          <w:rFonts w:ascii="Aptos" w:eastAsia="Aptos" w:hAnsi="Aptos" w:cs="Aptos"/>
        </w:rPr>
        <w:t>Dahlgren, C. L., Sundgot-Borgen, C., Kvalem, I. L., Wennersberg, A.-L., &amp; Wisting, L. (2024). Further evidence of the association between social media use, eating disorder pathology and appearance ideals and pressure: A cross-sectional study in Norwegian adolescents. Journal of Eating Disorders, 12, artículo 34. https://doi.org/10.1186/s40337-024-00992-3</w:t>
      </w:r>
    </w:p>
    <w:p w14:paraId="402E10B5" w14:textId="77777777" w:rsidR="2E90803C" w:rsidRDefault="2E90803C" w:rsidP="13528A3C">
      <w:pPr>
        <w:ind w:firstLine="708"/>
      </w:pPr>
      <w:r>
        <w:rPr>
          <w:rFonts w:ascii="Aptos" w:eastAsia="Aptos" w:hAnsi="Aptos" w:cs="Aptos"/>
        </w:rPr>
        <w:t>López, M. E., Eymann, A., Dawson, M. S., Heller, M., Saad, M. B., Granados, N., Cibeira, A., &amp; Paz, M. (2024). Adolescentes con trastornos de la conducta alimentaria durante la pandemia por COVID-19: cambios en vínculos sociales y modalidades de atención. Archivos Argentinos de Pediatría, 122(4), e202310275. https://doi.org/10.5546/aap.2023-10275</w:t>
      </w:r>
    </w:p>
    <w:p w14:paraId="402E10B5" w14:textId="77777777" w:rsidR="2E90803C" w:rsidRDefault="2E90803C" w:rsidP="13528A3C">
      <w:pPr>
        <w:ind w:firstLine="708"/>
      </w:pPr>
      <w:r>
        <w:rPr>
          <w:rFonts w:ascii="Aptos" w:eastAsia="Aptos" w:hAnsi="Aptos" w:cs="Aptos"/>
        </w:rPr>
        <w:t>López-Trujillo, M., Gómez-Restrepo, S. M., Hoyos-Sanabria, S., &amp; Vela-Arbeláez, V. (2026). Actualización de los principales trastornos de la conducta alimentaria (anorexia nerviosa y bulimia): una revisión narrativa de la literatura. Vertex Revista Argentina de Psiquiatría, 37(171), 50–58. https://doi.org/10.53680/vertex.v37i171.977</w:t>
      </w:r>
    </w:p>
    <w:sectPr w:rsidR="13528A3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553E55"/>
    <w:rsid w:val="002751EF"/>
    <w:rsid w:val="004E3903"/>
    <w:rsid w:val="00B64BF9"/>
    <w:rsid w:val="06DC0B86"/>
    <w:rsid w:val="099C1C50"/>
    <w:rsid w:val="0F437BBD"/>
    <w:rsid w:val="1035BF6D"/>
    <w:rsid w:val="13528A3C"/>
    <w:rsid w:val="146A80B8"/>
    <w:rsid w:val="1493D1A3"/>
    <w:rsid w:val="15D74900"/>
    <w:rsid w:val="1E8E61CE"/>
    <w:rsid w:val="268C7E2F"/>
    <w:rsid w:val="26EB2B21"/>
    <w:rsid w:val="296082A3"/>
    <w:rsid w:val="2E90803C"/>
    <w:rsid w:val="2F3B6ED3"/>
    <w:rsid w:val="36378AEB"/>
    <w:rsid w:val="37FF90CA"/>
    <w:rsid w:val="3A2EF817"/>
    <w:rsid w:val="3CE11F11"/>
    <w:rsid w:val="3D6F29D6"/>
    <w:rsid w:val="40D4C727"/>
    <w:rsid w:val="440244CE"/>
    <w:rsid w:val="4410C239"/>
    <w:rsid w:val="46C6DE2D"/>
    <w:rsid w:val="4E239184"/>
    <w:rsid w:val="4FBDF1A6"/>
    <w:rsid w:val="54553E55"/>
    <w:rsid w:val="56A85900"/>
    <w:rsid w:val="57EC2604"/>
    <w:rsid w:val="59134C6C"/>
    <w:rsid w:val="5C9C9A3B"/>
    <w:rsid w:val="5D863F75"/>
    <w:rsid w:val="5DDC48ED"/>
    <w:rsid w:val="64F88372"/>
    <w:rsid w:val="6AE92B6E"/>
    <w:rsid w:val="7132A9D9"/>
    <w:rsid w:val="73E76AE0"/>
    <w:rsid w:val="762D9226"/>
    <w:rsid w:val="7E117C1C"/>
    <w:rsid w:val="7E93489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FB580"/>
  <w15:chartTrackingRefBased/>
  <w15:docId w15:val="{B8162679-5A7F-436E-8B8C-ECB15F36B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microsoft.com/office/2020/10/relationships/intelligence" Target="intelligence2.xml"/><Relationship Id="rId5" Type="http://schemas.openxmlformats.org/officeDocument/2006/relationships/theme" Target="theme/theme1.xml"/><Relationship Id="rId4" Type="http://schemas.openxmlformats.org/officeDocument/2006/relationships/fontTable" Target="fontTable.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E44CB0A5CFB7F469794F3E2F62947AF" ma:contentTypeVersion="3" ma:contentTypeDescription="Crear nuevo documento." ma:contentTypeScope="" ma:versionID="cb1f72ee30e379c8d0b22f69d9fb039c">
  <xsd:schema xmlns:xsd="http://www.w3.org/2001/XMLSchema" xmlns:xs="http://www.w3.org/2001/XMLSchema" xmlns:p="http://schemas.microsoft.com/office/2006/metadata/properties" xmlns:ns2="737e9a22-5258-4949-813c-b0f17db3d986" targetNamespace="http://schemas.microsoft.com/office/2006/metadata/properties" ma:root="true" ma:fieldsID="b3ab1eff0b27783f94b6dbf622b78ed5" ns2:_="">
    <xsd:import namespace="737e9a22-5258-4949-813c-b0f17db3d98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7e9a22-5258-4949-813c-b0f17db3d9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977D94B-0AE9-4C20-96FB-37D34EF1F691}"/>
</file>

<file path=customXml/itemProps2.xml><?xml version="1.0" encoding="utf-8"?>
<ds:datastoreItem xmlns:ds="http://schemas.openxmlformats.org/officeDocument/2006/customXml" ds:itemID="{F8FE9460-A730-4C93-A393-635F7896F35E}"/>
</file>

<file path=customXml/itemProps3.xml><?xml version="1.0" encoding="utf-8"?>
<ds:datastoreItem xmlns:ds="http://schemas.openxmlformats.org/officeDocument/2006/customXml" ds:itemID="{801D5FCF-58D5-4BCC-8102-B35EAA63BACB}"/>
</file>

<file path=docProps/app.xml><?xml version="1.0" encoding="utf-8"?>
<Properties xmlns="http://schemas.openxmlformats.org/officeDocument/2006/extended-properties" xmlns:vt="http://schemas.openxmlformats.org/officeDocument/2006/docPropsVTypes">
  <Template>Normal</Template>
  <TotalTime>3</TotalTime>
  <Pages>6</Pages>
  <Words>2583</Words>
  <Characters>14261</Characters>
  <Application>Microsoft Office Word</Application>
  <DocSecurity>0</DocSecurity>
  <Lines>226</Lines>
  <Paragraphs>46</Paragraphs>
  <ScaleCrop>false</ScaleCrop>
  <Company/>
  <LinksUpToDate>false</LinksUpToDate>
  <CharactersWithSpaces>16798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FEROLETO Chiara</dc:creator>
  <cp:keywords/>
  <dc:description/>
  <cp:lastModifiedBy>Mario Feroleto</cp:lastModifiedBy>
  <cp:revision>2</cp:revision>
  <dcterms:created xsi:type="dcterms:W3CDTF">2026-06-09T11:15:00Z</dcterms:created>
  <dcterms:modified xsi:type="dcterms:W3CDTF">2026-06-21T18:24:00Z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0x0101003E44CB0A5CFB7F469794F3E2F62947AF</vt:lpwstr>
  </property>
</Properties>
</file>