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F473D" w14:textId="77777777" w:rsidR="00B64BF9" w:rsidRPr="004E3903" w:rsidRDefault="004E3903">
      <w:pPr>
        <w:rPr>
          <w:b/>
          <w:bCs/>
        </w:rPr>
      </w:pPr>
      <w:r w:rsidRPr="004E3903">
        <w:rPr>
          <w:b/>
          <w:bCs/>
        </w:rPr>
        <w:t xml:space="preserve"> </w:t>
      </w:r>
      <w:r w:rsidR="00000000" w:rsidRPr="004E3903">
        <w:rPr>
          <w:b/>
          <w:bCs/>
        </w:rPr>
        <w:t xml:space="preserve">3. Estado del arte </w:t>
      </w:r>
    </w:p>
    <w:p w14:paraId="162CDC1C" w14:textId="186C6BE3" w:rsidR="36378AEB" w:rsidRDefault="36378AEB">
      <w:r>
        <w:t>Como se la mencionado, nuestro trabajo de investigación</w:t>
      </w:r>
      <w:r w:rsidR="004E3903">
        <w:t xml:space="preserve"> tiene como objetivo analizar</w:t>
      </w:r>
      <w:r>
        <w:t xml:space="preserve"> sobre la Anorexia y la Bulimia en los adolescentes de Argentina. </w:t>
      </w:r>
    </w:p>
    <w:p w14:paraId="5204D5B1" w14:textId="77777777" w:rsidR="2F3B6ED3" w:rsidRDefault="2F3B6ED3" w:rsidP="13528A3C">
      <w:pPr>
        <w:ind w:firstLine="708"/>
      </w:pPr>
      <w:r>
        <w:t xml:space="preserve">El estado del arte se relaciona con un tipo de investigación documental acerca de la forma en que diferentes autores han tratado un tema específico. En otras palabras, es la búsqueda, lectura y análisis de la bibliografía encontrada en relación con un tema que se quiere investigar. </w:t>
      </w:r>
    </w:p>
    <w:p w14:paraId="1E86D7FF" w14:textId="7565A243" w:rsidR="6AE92B6E" w:rsidRDefault="6AE92B6E">
      <w:r>
        <w:t xml:space="preserve">A continuación, expondremos una síntesis de los últimos desarrollos publicados </w:t>
      </w:r>
      <w:r w:rsidR="004E3903">
        <w:t>con relación a</w:t>
      </w:r>
      <w:r>
        <w:t xml:space="preserve"> nuestros objetivos de estudio:</w:t>
      </w:r>
    </w:p>
    <w:p w14:paraId="79F9EECA" w14:textId="77777777" w:rsidR="13528A3C" w:rsidRDefault="13528A3C"/>
    <w:p w14:paraId="044AAF27" w14:textId="77777777" w:rsidR="73E76AE0" w:rsidRPr="004E3903" w:rsidRDefault="73E76AE0">
      <w:pPr>
        <w:rPr>
          <w:b/>
          <w:bCs/>
        </w:rPr>
      </w:pPr>
      <w:r w:rsidRPr="004E3903">
        <w:rPr>
          <w:b/>
          <w:bCs/>
        </w:rPr>
        <w:t xml:space="preserve">3.1 </w:t>
      </w:r>
      <w:r w:rsidRPr="004E3903">
        <w:rPr>
          <w:rFonts w:ascii="Aptos" w:eastAsia="Aptos" w:hAnsi="Aptos" w:cs="Aptos"/>
          <w:b/>
          <w:bCs/>
        </w:rPr>
        <w:t>Revista Vertex — Argentina de Psiquiatría (2026)</w:t>
      </w:r>
    </w:p>
    <w:p w14:paraId="402E10B5" w14:textId="77777777" w:rsidR="2E90803C" w:rsidRDefault="2E90803C" w:rsidP="13528A3C">
      <w:pPr>
        <w:ind w:firstLine="708"/>
      </w:pPr>
      <w:r>
        <w:rPr>
          <w:rFonts w:ascii="Aptos" w:eastAsia="Aptos" w:hAnsi="Aptos" w:cs="Aptos"/>
        </w:rPr>
        <w:t xml:space="preserve">El artículo de López-Trujillo et al. publicado en </w:t>
      </w:r>
      <w:r>
        <w:rPr>
          <w:rFonts w:ascii="Aptos" w:eastAsia="Aptos" w:hAnsi="Aptos" w:cs="Aptos"/>
          <w:i/>
          <w:iCs/>
        </w:rPr>
        <w:t>Vertex</w:t>
      </w:r>
      <w:r>
        <w:rPr>
          <w:rFonts w:ascii="Aptos" w:eastAsia="Aptos" w:hAnsi="Aptos" w:cs="Aptos"/>
        </w:rPr>
        <w:t xml:space="preserve"> constituye una revisión narrativa actualizada que busca poner al día a los profesionales de la salud sobre los aspectos más relevantes del diagnóstico y tratamiento de la anorexia y la bulimia. Una de sus contribuciones más importantes es dejar en claro que estos trastornos no son simples problemas de alimentación, sino enfermedades mentales graves con consecuencias físicas severas y multisistémicas. En el caso de la anorexia, el impacto recae sobre el sistema cardiovascular, gastrointestinal, endocrino, neurológico y esquelético, mientras que la bulimia genera complicaciones como erosiones dentales, desgarros esofágicos y desbalances electrolíticos con riesgo cardíaco.</w:t>
      </w:r>
    </w:p>
    <w:p w14:paraId="4243C9AB" w14:textId="77777777" w:rsidR="2E90803C" w:rsidRDefault="2E90803C" w:rsidP="13528A3C">
      <w:pPr>
        <w:ind w:firstLine="708"/>
        <w:rPr>
          <w:rFonts w:ascii="Aptos" w:eastAsia="Aptos" w:hAnsi="Aptos" w:cs="Aptos"/>
        </w:rPr>
      </w:pPr>
      <w:r>
        <w:rPr>
          <w:rFonts w:ascii="Aptos" w:eastAsia="Aptos" w:hAnsi="Aptos" w:cs="Aptos"/>
        </w:rPr>
        <w:t>Uno de los puntos más destacables es el enfoque en los factores etiológicos: el artículo señala que el origen de estos trastornos es tanto genético como ambiental, y que existe una interacción compleja entre ambos. Se mencionan genes específicos vinculados a la anorexia, aunque los propios autores reconocen que las evidencias aún son limitadas en términos de aplicabilidad clínica. En cuanto a los tratamientos, la revisión concluye que las terapias psicológicas, especialmente la terapia cognitivo conductual y la terapia familiar, tienen mayor respaldo científico que los tratamientos farmacológicos, los cuales siguen siendo de evidencia limitada, sobre todo en la anorexia.</w:t>
      </w:r>
    </w:p>
    <w:p w14:paraId="3D9C7DC3" w14:textId="77777777" w:rsidR="2E90803C" w:rsidRDefault="2E90803C" w:rsidP="13528A3C">
      <w:pPr>
        <w:ind w:firstLine="708"/>
      </w:pPr>
      <w:r>
        <w:rPr>
          <w:rFonts w:ascii="Aptos" w:eastAsia="Aptos" w:hAnsi="Aptos" w:cs="Aptos"/>
        </w:rPr>
        <w:t>Un dato epidemiológico preocupante que aporta el artículo es que menos de la mitad de los pacientes logran una remisión completa, y que una parte importante tiende a la cronificación. Esto subraya la urgencia de mejorar los abordajes terapéuticos actuales y de continuar investigando alternativas más eficaces.</w:t>
      </w:r>
    </w:p>
    <w:p w14:paraId="3791771C" w14:textId="77777777" w:rsidR="2E90803C" w:rsidRDefault="2E90803C" w:rsidP="13528A3C">
      <w:pPr>
        <w:ind w:firstLine="708"/>
      </w:pPr>
      <w:r>
        <w:rPr>
          <w:rFonts w:ascii="Aptos" w:eastAsia="Aptos" w:hAnsi="Aptos" w:cs="Aptos"/>
        </w:rPr>
        <w:t xml:space="preserve">En cuanto a su magnitud, el artículo aporta cifras concretas que permiten dimensionar el problema: la anorexia nerviosa afecta a entre el 1 % y el 4 % de las mujeres en el mundo, mientras que la bulimia nerviosa afecta a entre el 1 % y el 2 %. Si </w:t>
      </w:r>
      <w:r>
        <w:rPr>
          <w:rFonts w:ascii="Aptos" w:eastAsia="Aptos" w:hAnsi="Aptos" w:cs="Aptos"/>
        </w:rPr>
        <w:lastRenderedPageBreak/>
        <w:t>bien históricamente se describió que estos trastornos afectaban sobre todo a mujeres jóvenes de países occidentales, la literatura reciente muestra un incremento de los casos en Asia, así como aumentos sostenidos en las tasas de hospitalización pediátrica en los últimos veinte años, en particular entre los 12 y los 14 años. En lo que respecta a América Latina, una revisión sistemática citada en el artículo reportó una prevalencia estandarizada de entre el 0,04 % y el 0,09 % para la anorexia y de entre el 0,13 % y el 0,27 % para la bulimia, cifras que, aunque menores a las de otras regiones, advierten sobre la necesidad de continuar relevando datos epidemiológicos propios de la región.</w:t>
      </w:r>
    </w:p>
    <w:p w14:paraId="62933BC5" w14:textId="77777777" w:rsidR="2E90803C" w:rsidRDefault="2E90803C" w:rsidP="13528A3C">
      <w:pPr>
        <w:ind w:firstLine="708"/>
        <w:rPr>
          <w:rFonts w:ascii="Aptos" w:eastAsia="Aptos" w:hAnsi="Aptos" w:cs="Aptos"/>
          <w:b/>
          <w:bCs/>
        </w:rPr>
      </w:pPr>
      <w:r>
        <w:rPr>
          <w:rFonts w:ascii="Aptos" w:eastAsia="Aptos" w:hAnsi="Aptos" w:cs="Aptos"/>
          <w:b/>
          <w:bCs/>
        </w:rPr>
        <w:t>3.1.1 Fisiopatología y factores ambientales</w:t>
      </w:r>
    </w:p>
    <w:p w14:paraId="4568E329" w14:textId="77777777" w:rsidR="2E90803C" w:rsidRDefault="2E90803C" w:rsidP="13528A3C">
      <w:pPr>
        <w:ind w:firstLine="708"/>
      </w:pPr>
      <w:r>
        <w:rPr>
          <w:rFonts w:ascii="Aptos" w:eastAsia="Aptos" w:hAnsi="Aptos" w:cs="Aptos"/>
        </w:rPr>
        <w:t>El artículo profundiza especialmente en el origen de estos trastornos, señalando que la anorexia nerviosa posee un componente hereditario significativo: tener un familiar de primer grado con la enfermedad multiplica por once el riesgo de padecerla respecto de la población general. A nivel genético, se mencionan alteraciones en genes como el FOXP1, vinculado a problemas gastrointestinales y de la alimentación, y otros como el PTBP2, el CADM1, el CADM2 y el MGMT, relacionados con el desarrollo de la corteza cerebral, la regulación del índice de masa corporal, los comportamientos impulsivos y la reparación celular, respectivamente. Sin embargo, los propios autores advierten que estos hallazgos todavía son insuficientes para establecer relaciones de causalidad clara, por lo que su utilidad clínica continúa siendo limitada.</w:t>
      </w:r>
    </w:p>
    <w:p w14:paraId="63DF79A1" w14:textId="77777777" w:rsidR="2E90803C" w:rsidRDefault="2E90803C" w:rsidP="13528A3C">
      <w:pPr>
        <w:ind w:firstLine="708"/>
      </w:pPr>
      <w:r>
        <w:rPr>
          <w:rFonts w:ascii="Aptos" w:eastAsia="Aptos" w:hAnsi="Aptos" w:cs="Aptos"/>
        </w:rPr>
        <w:t>Respecto de los factores ambientales, se destaca que el sexo femenino constituye uno de los principales factores de riesgo, con una proporción de diez mujeres afectadas por cada hombre, lo cual podría explicarse por estándares socioculturales y presiones de género asociadas a la imagen corporal. Asimismo, se señala que alrededor del 70 % de los pacientes presenta un estilo de apego evitativo, caracterizado por temor o ansiedad frente al vínculo emocional con otras personas, y que los ambientes familiares disfuncionales, con escasos espacios de comunicación y validación emocional, suelen estar presentes en el origen del trastorno. No obstante, el artículo aclara que también se han documentado casos en familias funcionales y equilibradas, lo que advierte contra explicaciones unilaterales o culpabilizadoras hacia el entorno familiar y refuerza la idea de que los orígenes de los TCA son multicausales.</w:t>
      </w:r>
    </w:p>
    <w:p w14:paraId="0F49F83F" w14:textId="77777777" w:rsidR="2E90803C" w:rsidRDefault="2E90803C" w:rsidP="13528A3C">
      <w:pPr>
        <w:ind w:firstLine="708"/>
        <w:rPr>
          <w:rFonts w:ascii="Aptos" w:eastAsia="Aptos" w:hAnsi="Aptos" w:cs="Aptos"/>
          <w:b/>
          <w:bCs/>
        </w:rPr>
      </w:pPr>
      <w:r>
        <w:rPr>
          <w:rFonts w:ascii="Aptos" w:eastAsia="Aptos" w:hAnsi="Aptos" w:cs="Aptos"/>
          <w:b/>
          <w:bCs/>
        </w:rPr>
        <w:t>3.1.2 Hallazgos neurobiológicos</w:t>
      </w:r>
    </w:p>
    <w:p w14:paraId="23C54BCD" w14:textId="77777777" w:rsidR="2E90803C" w:rsidRDefault="2E90803C" w:rsidP="13528A3C">
      <w:pPr>
        <w:ind w:firstLine="708"/>
      </w:pPr>
      <w:r>
        <w:rPr>
          <w:rFonts w:ascii="Aptos" w:eastAsia="Aptos" w:hAnsi="Aptos" w:cs="Aptos"/>
        </w:rPr>
        <w:t xml:space="preserve">Otro aporte interesante del artículo es la inclusión de hallazgos sobre la neurobiología de estos trastornos. En estudios con modelos animales se observaron relaciones entre circuitos de dopamina y serotonina en el cerebro y la aparición de conductas anoréxicas, así como cambios estructurales persistentes en regiones como la corteza prefrontal, el hipotálamo y la amígdala tras procesos de restricción alimentaria severa. En cuanto a la bulimia nerviosa, se identificó que afecta la </w:t>
      </w:r>
      <w:r>
        <w:rPr>
          <w:rFonts w:ascii="Aptos" w:eastAsia="Aptos" w:hAnsi="Aptos" w:cs="Aptos"/>
        </w:rPr>
        <w:lastRenderedPageBreak/>
        <w:t>conectividad de redes cerebrales a gran escala, con una sobreactivación de la corteza orbitofrontal y la corteza cingulada anterior, y una hipoactivación de las regiones encargadas del control inhibitorio, lo cual podría explicar en parte los episodios de atracones. Los propios autores aclaran que todavía es difícil establecer si estos cambios cerebrales son causa o consecuencia del trastorno, pero remarcan que este tipo de hallazgos podría, en el futuro, contribuir a mejorar el diagnóstico y el pronóstico de los TCA.</w:t>
      </w:r>
    </w:p>
    <w:p w14:paraId="62F9B2D0" w14:textId="77777777" w:rsidR="2E90803C" w:rsidRDefault="2E90803C" w:rsidP="13528A3C">
      <w:pPr>
        <w:ind w:firstLine="708"/>
        <w:rPr>
          <w:rFonts w:ascii="Aptos" w:eastAsia="Aptos" w:hAnsi="Aptos" w:cs="Aptos"/>
          <w:b/>
          <w:bCs/>
        </w:rPr>
      </w:pPr>
      <w:r>
        <w:rPr>
          <w:rFonts w:ascii="Aptos" w:eastAsia="Aptos" w:hAnsi="Aptos" w:cs="Aptos"/>
          <w:b/>
          <w:bCs/>
        </w:rPr>
        <w:t>3.1.3 Intervenciones nutricionales y en el estilo de vida</w:t>
      </w:r>
    </w:p>
    <w:p w14:paraId="204DD05F" w14:textId="77777777" w:rsidR="2E90803C" w:rsidRDefault="2E90803C" w:rsidP="13528A3C">
      <w:pPr>
        <w:ind w:firstLine="708"/>
      </w:pPr>
      <w:r>
        <w:rPr>
          <w:rFonts w:ascii="Aptos" w:eastAsia="Aptos" w:hAnsi="Aptos" w:cs="Aptos"/>
        </w:rPr>
        <w:t>El artículo insiste en que el tratamiento de los TCA debe ser multidisciplinario e individualizado, incorporando intervenciones específicas en la alimentación y en el estilo de vida. Un punto relevante es la advertencia sobre la actividad física: si bien puede formar parte de un estilo de vida saludable, debe prescribirse con extremo cuidado, ya que en la anorexia puede empeorar los síntomas y en la bulimia puede convertirse en una conducta compensatoria más. También se recomienda promover un uso responsable de las redes sociales para proteger la autopercepción corporal de los pacientes, así como evaluar la presencia de otros trastornos mentales coexistentes y fortalecer los vínculos familiares como parte del abordaje integral.</w:t>
      </w:r>
    </w:p>
    <w:p w14:paraId="643F9B2F" w14:textId="77777777" w:rsidR="2E90803C" w:rsidRDefault="2E90803C" w:rsidP="13528A3C">
      <w:pPr>
        <w:ind w:firstLine="708"/>
      </w:pPr>
      <w:r>
        <w:rPr>
          <w:rFonts w:ascii="Aptos" w:eastAsia="Aptos" w:hAnsi="Aptos" w:cs="Aptos"/>
        </w:rPr>
        <w:t>En el plano nutricional, se recomienda regularizar los horarios de las comidas y utilizar diarios alimentarios, sobre todo en casos graves de anorexia. Un dato que merece destacarse es la advertencia sobre los TCA en varones: el artículo señala que, en esta población, el trastorno puede llegar a ser hasta seis veces más mortal que en otros grupos, debido principalmente al estigma social y a la falta de reconocimiento y diagnóstico temprano. Este dato resulta especialmente relevante para pensar campañas de concientización que no se enfoquen exclusivamente en las mujeres adolescentes, sino que incluyan también a los varones como población en riesgo.</w:t>
      </w:r>
    </w:p>
    <w:p w14:paraId="77314FA2" w14:textId="77777777" w:rsidR="37FF90CA" w:rsidRDefault="37FF90CA">
      <w:r>
        <w:rPr>
          <w:rFonts w:ascii="Aptos" w:eastAsia="Aptos" w:hAnsi="Aptos" w:cs="Aptos"/>
          <w:b/>
          <w:bCs/>
        </w:rPr>
        <w:t>Cita textual 1:</w:t>
      </w:r>
      <w:r>
        <w:rPr>
          <w:rFonts w:ascii="Aptos" w:eastAsia="Aptos" w:hAnsi="Aptos" w:cs="Aptos"/>
        </w:rPr>
        <w:t xml:space="preserve"> </w:t>
      </w:r>
      <w:r>
        <w:rPr>
          <w:rFonts w:ascii="Aptos" w:eastAsia="Aptos" w:hAnsi="Aptos" w:cs="Aptos"/>
          <w:i/>
          <w:iCs/>
        </w:rPr>
        <w:t>"Los TCA tienen un origen genético y ambiental. La AN tiene un componente hereditario significativo: tener un familiar de primer grado de consanguinidad con la enfermedad aumenta el riesgo padecerla 11 veces en comparación con la población general."</w:t>
      </w:r>
      <w:r>
        <w:rPr>
          <w:rFonts w:ascii="Aptos" w:eastAsia="Aptos" w:hAnsi="Aptos" w:cs="Aptos"/>
        </w:rPr>
        <w:t xml:space="preserve"> </w:t>
      </w:r>
      <w:r>
        <w:rPr>
          <w:rFonts w:ascii="Aptos" w:eastAsia="Aptos" w:hAnsi="Aptos" w:cs="Aptos"/>
          <w:i/>
          <w:iCs/>
        </w:rPr>
        <w:t>(López-Trujillo et al., Vertex Rev Arg Psiquiatr., 2026, p. 52)</w:t>
      </w:r>
    </w:p>
    <w:p w14:paraId="39C8F9D4" w14:textId="77777777" w:rsidR="37FF90CA" w:rsidRDefault="37FF90CA">
      <w:r>
        <w:rPr>
          <w:rFonts w:ascii="Aptos" w:eastAsia="Aptos" w:hAnsi="Aptos" w:cs="Aptos"/>
          <w:b/>
          <w:bCs/>
        </w:rPr>
        <w:t>Cita textual 2:</w:t>
      </w:r>
      <w:r>
        <w:rPr>
          <w:rFonts w:ascii="Aptos" w:eastAsia="Aptos" w:hAnsi="Aptos" w:cs="Aptos"/>
        </w:rPr>
        <w:t xml:space="preserve"> </w:t>
      </w:r>
      <w:r>
        <w:rPr>
          <w:rFonts w:ascii="Aptos" w:eastAsia="Aptos" w:hAnsi="Aptos" w:cs="Aptos"/>
          <w:i/>
          <w:iCs/>
        </w:rPr>
        <w:t>"Son enfermedades de difícil tratamiento, pues menos del 50 % de pacientes tienen remisión completa, 30 % experimentan síntomas residuales y 20 % tienden a su cronificación."</w:t>
      </w:r>
      <w:r>
        <w:rPr>
          <w:rFonts w:ascii="Aptos" w:eastAsia="Aptos" w:hAnsi="Aptos" w:cs="Aptos"/>
        </w:rPr>
        <w:t xml:space="preserve"> </w:t>
      </w:r>
      <w:r>
        <w:rPr>
          <w:rFonts w:ascii="Aptos" w:eastAsia="Aptos" w:hAnsi="Aptos" w:cs="Aptos"/>
          <w:i/>
          <w:iCs/>
        </w:rPr>
        <w:t>(López-Trujillo et al., Vertex Rev Arg Psiquiatr., 2026, p. 51)</w:t>
      </w:r>
    </w:p>
    <w:p w14:paraId="6E251D25" w14:textId="77777777" w:rsidR="37FF90CA" w:rsidRDefault="37FF90CA">
      <w:r>
        <w:rPr>
          <w:rFonts w:ascii="Aptos" w:eastAsia="Aptos" w:hAnsi="Aptos" w:cs="Aptos"/>
          <w:b/>
          <w:bCs/>
        </w:rPr>
        <w:t>Cita textual 3:</w:t>
      </w:r>
      <w:r>
        <w:rPr>
          <w:rFonts w:ascii="Aptos" w:eastAsia="Aptos" w:hAnsi="Aptos" w:cs="Aptos"/>
        </w:rPr>
        <w:t xml:space="preserve"> </w:t>
      </w:r>
      <w:r>
        <w:rPr>
          <w:rFonts w:ascii="Aptos" w:eastAsia="Aptos" w:hAnsi="Aptos" w:cs="Aptos"/>
          <w:i/>
          <w:iCs/>
        </w:rPr>
        <w:t>"No debe ignorarse el TCA en varones, pues puede ser hasta seis veces más mortal que en otras poblaciones debido al estigma y la falta de reconocimiento temprano."</w:t>
      </w:r>
      <w:r>
        <w:rPr>
          <w:rFonts w:ascii="Aptos" w:eastAsia="Aptos" w:hAnsi="Aptos" w:cs="Aptos"/>
        </w:rPr>
        <w:t xml:space="preserve"> </w:t>
      </w:r>
      <w:r>
        <w:rPr>
          <w:rFonts w:ascii="Aptos" w:eastAsia="Aptos" w:hAnsi="Aptos" w:cs="Aptos"/>
          <w:i/>
          <w:iCs/>
        </w:rPr>
        <w:t>(López-Trujillo et al., Vertex Rev Arg Psiquiatr., 2026, p. 53)</w:t>
      </w:r>
    </w:p>
    <w:p w14:paraId="0DA9AA87" w14:textId="6E3D9E74" w:rsidR="13528A3C" w:rsidRDefault="13528A3C" w:rsidP="13528A3C">
      <w:pPr>
        <w:rPr>
          <w:rFonts w:ascii="Aptos" w:eastAsia="Aptos" w:hAnsi="Aptos" w:cs="Aptos"/>
        </w:rPr>
      </w:pPr>
    </w:p>
    <w:p w14:paraId="40FFABA6" w14:textId="77777777" w:rsidR="3CE11F11" w:rsidRPr="004E3903" w:rsidRDefault="3CE11F11" w:rsidP="13528A3C">
      <w:pPr>
        <w:rPr>
          <w:rFonts w:ascii="Aptos" w:eastAsia="Aptos" w:hAnsi="Aptos" w:cs="Aptos"/>
          <w:b/>
          <w:bCs/>
        </w:rPr>
      </w:pPr>
      <w:r w:rsidRPr="004E3903">
        <w:rPr>
          <w:rFonts w:ascii="Aptos" w:eastAsia="Aptos" w:hAnsi="Aptos" w:cs="Aptos"/>
          <w:b/>
          <w:bCs/>
        </w:rPr>
        <w:lastRenderedPageBreak/>
        <w:t>3.2 Archivos Argentinos de Pediatría — SAP (2024)</w:t>
      </w:r>
    </w:p>
    <w:p w14:paraId="2B68D865" w14:textId="77777777" w:rsidR="3CE11F11" w:rsidRDefault="3CE11F11" w:rsidP="13528A3C">
      <w:pPr>
        <w:ind w:firstLine="708"/>
      </w:pPr>
      <w:r>
        <w:rPr>
          <w:rFonts w:ascii="Aptos" w:eastAsia="Aptos" w:hAnsi="Aptos" w:cs="Aptos"/>
        </w:rPr>
        <w:t>El estudio de López, Eymann et al., publicado en la revista oficial de la Sociedad Argentina de Pediatría y realizado en el Hospital Italiano de Buenos Aires, aborda una dimensión que hasta ese momento había sido poco explorada en Argentina: cómo vivieron los adolescentes con TCA el período de aislamiento durante la pandemia de COVID-19. A través de entrevistas en profundidad a 15 adolescentes en tratamiento, el trabajo logra captar la experiencia subjetiva de estos pacientes de una manera que los estudios cuantitativos tradicionales no pueden.</w:t>
      </w:r>
    </w:p>
    <w:p w14:paraId="70427367" w14:textId="77777777" w:rsidR="3CE11F11" w:rsidRDefault="3CE11F11" w:rsidP="13528A3C">
      <w:pPr>
        <w:ind w:firstLine="708"/>
      </w:pPr>
      <w:r>
        <w:rPr>
          <w:rFonts w:ascii="Aptos" w:eastAsia="Aptos" w:hAnsi="Aptos" w:cs="Aptos"/>
        </w:rPr>
        <w:t>Los resultados revelan un panorama complejo. Por un lado, el aislamiento agravó ciertos factores de riesgo ya presentes en esta población: los conflictos en la convivencia familiar se intensificaron, y el uso de redes sociales —cargadas de contenidos sobre imagen corporal y dietas— generó malestar significativo en la mayoría de los entrevistados. Por otro lado, el estudio también identificó aspectos inesperadamente positivos: el apoyo entre pares y ciertas mejoras en la relación con la alimentación fueron valorados por una parte importante de los participantes, lo que sugiere que incluso en contextos adversos pueden surgir recursos de afrontamiento.</w:t>
      </w:r>
    </w:p>
    <w:p w14:paraId="40523905" w14:textId="77777777" w:rsidR="3CE11F11" w:rsidRDefault="3CE11F11" w:rsidP="13528A3C">
      <w:pPr>
        <w:ind w:firstLine="708"/>
      </w:pPr>
      <w:r>
        <w:rPr>
          <w:rFonts w:ascii="Aptos" w:eastAsia="Aptos" w:hAnsi="Aptos" w:cs="Aptos"/>
        </w:rPr>
        <w:t>Otro hallazgo relevante es la adopción del seguimiento virtual como principal cambio percibido en el tratamiento durante la pandemia. Esto abre una reflexión importante sobre el rol de la telesalud en el abordaje de los TCA en adolescentes: si bien no reemplaza al tratamiento presencial, puede ser un complemento valioso para mantener la continuidad del cuidado en situaciones de crisis o limitación de acceso.</w:t>
      </w:r>
    </w:p>
    <w:p w14:paraId="2D623F5F" w14:textId="77777777" w:rsidR="3CE11F11" w:rsidRDefault="3CE11F11" w:rsidP="13528A3C">
      <w:pPr>
        <w:ind w:firstLine="708"/>
      </w:pPr>
      <w:r>
        <w:rPr>
          <w:rFonts w:ascii="Aptos" w:eastAsia="Aptos" w:hAnsi="Aptos" w:cs="Aptos"/>
        </w:rPr>
        <w:t>El estudio también evidencia que la edad de inicio de los síntomas fue, en promedio, los 13 años, lo cual refuerza la necesidad de intervenciones de detección temprana en el contexto escolar y pediátrico. El hecho de que el 100% de los participantes presentara alguna comorbilidad psiquiátrica da cuenta de la complejidad clínica de esta población y de la importancia del enfoque interdisciplinario.</w:t>
      </w:r>
    </w:p>
    <w:p w14:paraId="2D25EF16" w14:textId="77777777" w:rsidR="3CE11F11" w:rsidRDefault="3CE11F11" w:rsidP="13528A3C">
      <w:pPr>
        <w:ind w:firstLine="708"/>
        <w:rPr>
          <w:rFonts w:ascii="Aptos" w:eastAsia="Aptos" w:hAnsi="Aptos" w:cs="Aptos"/>
          <w:b/>
          <w:bCs/>
        </w:rPr>
      </w:pPr>
      <w:r>
        <w:rPr>
          <w:rFonts w:ascii="Aptos" w:eastAsia="Aptos" w:hAnsi="Aptos" w:cs="Aptos"/>
          <w:b/>
          <w:bCs/>
        </w:rPr>
        <w:t>3.2.1 Metodología del estudio</w:t>
      </w:r>
    </w:p>
    <w:p w14:paraId="2351F516" w14:textId="77777777" w:rsidR="3CE11F11" w:rsidRDefault="3CE11F11" w:rsidP="13528A3C">
      <w:pPr>
        <w:ind w:firstLine="708"/>
      </w:pPr>
      <w:r>
        <w:rPr>
          <w:rFonts w:ascii="Aptos" w:eastAsia="Aptos" w:hAnsi="Aptos" w:cs="Aptos"/>
        </w:rPr>
        <w:t xml:space="preserve">El trabajo se desarrolló como un estudio cualitativo, mediante entrevistas en profundidad realizadas entre diciembre de 2021 y junio de 2022 a través de la plataforma Google Meet, con consentimiento informado previo. La población estuvo conformada por adolescentes menores de 20 años, diagnosticados según los criterios del DSM-V, que se encontraban en tratamiento con un equipo interdisciplinario del Hospital Italiano de Buenos Aires desde al menos seis meses antes del inicio de la pandemia. De los 25 adolescentes elegibles, 15 aceptaron participar (una tasa de respuesta del 60 %), mientras que 4 rechazaron la invitación y 6 no respondieron. El análisis de los datos se realizó mediante un proceso de triangulación, mediante lecturas iterativas y discusiones entre los cuatro investigadores del equipo, lo que </w:t>
      </w:r>
      <w:r>
        <w:rPr>
          <w:rFonts w:ascii="Aptos" w:eastAsia="Aptos" w:hAnsi="Aptos" w:cs="Aptos"/>
        </w:rPr>
        <w:lastRenderedPageBreak/>
        <w:t>aporta rigurosidad metodológica a un estudio que, por su diseño cualitativo, busca profundizar en la experiencia subjetiva antes que generalizar estadísticamente.</w:t>
      </w:r>
    </w:p>
    <w:p w14:paraId="1A341B85" w14:textId="77777777" w:rsidR="3CE11F11" w:rsidRDefault="3CE11F11" w:rsidP="13528A3C">
      <w:pPr>
        <w:ind w:firstLine="708"/>
        <w:rPr>
          <w:rFonts w:ascii="Aptos" w:eastAsia="Aptos" w:hAnsi="Aptos" w:cs="Aptos"/>
          <w:b/>
          <w:bCs/>
        </w:rPr>
      </w:pPr>
      <w:r>
        <w:rPr>
          <w:rFonts w:ascii="Aptos" w:eastAsia="Aptos" w:hAnsi="Aptos" w:cs="Aptos"/>
          <w:b/>
          <w:bCs/>
        </w:rPr>
        <w:t>3.2.2 Características demográficas de la muestra</w:t>
      </w:r>
    </w:p>
    <w:p w14:paraId="5C107E94" w14:textId="77777777" w:rsidR="3CE11F11" w:rsidRDefault="3CE11F11" w:rsidP="13528A3C">
      <w:pPr>
        <w:ind w:firstLine="708"/>
      </w:pPr>
      <w:r>
        <w:rPr>
          <w:rFonts w:ascii="Aptos" w:eastAsia="Aptos" w:hAnsi="Aptos" w:cs="Aptos"/>
        </w:rPr>
        <w:t>De los 15 adolescentes entrevistados, el 93 % fueron mujeres, con una mediana de edad de 18 años. El diagnóstico inicial más frecuente fue anorexia nerviosa (13 de los 15 casos), aunque al finalizar el seguimiento el diagnóstico se ajustó a 12 casos de anorexia y 3 de bulimia. Toda la muestra se encontraba cursando estudios, ya fuera en el nivel secundario, terciario o universitario, y contaba con cobertura de salud que permitía la atención en la institución. Un dato que llama la atención es que la totalidad de los participantes presentaba alguna comorbilidad psiquiátrica asociada, y 8 de los 15 requirieron medicación psiquiátrica, lo cual confirma que los TCA en la adolescencia rara vez se presentan de forma aislada, sino que suelen ir acompañados de otros cuadros de salud mental que deben ser atendidos en conjunto.</w:t>
      </w:r>
    </w:p>
    <w:p w14:paraId="7FD4D59E" w14:textId="77777777" w:rsidR="3CE11F11" w:rsidRDefault="3CE11F11" w:rsidP="13528A3C">
      <w:pPr>
        <w:ind w:firstLine="708"/>
        <w:rPr>
          <w:rFonts w:ascii="Aptos" w:eastAsia="Aptos" w:hAnsi="Aptos" w:cs="Aptos"/>
          <w:b/>
          <w:bCs/>
        </w:rPr>
      </w:pPr>
      <w:r>
        <w:rPr>
          <w:rFonts w:ascii="Aptos" w:eastAsia="Aptos" w:hAnsi="Aptos" w:cs="Aptos"/>
          <w:b/>
          <w:bCs/>
        </w:rPr>
        <w:t>3.2.3 Aspectos positivos percibidos durante la pandemia</w:t>
      </w:r>
    </w:p>
    <w:p w14:paraId="23141725" w14:textId="77777777" w:rsidR="3CE11F11" w:rsidRDefault="3CE11F11" w:rsidP="13528A3C">
      <w:pPr>
        <w:ind w:firstLine="708"/>
      </w:pPr>
      <w:r>
        <w:rPr>
          <w:rFonts w:ascii="Aptos" w:eastAsia="Aptos" w:hAnsi="Aptos" w:cs="Aptos"/>
        </w:rPr>
        <w:t>El estudio identificó seis categorías de aspectos beneficiosos percibidos por los adolescentes. Las dos más mencionadas, con un 66,6 % cada una, fueron el progreso en la relación con la alimentación y la ayuda de los pares en el tratamiento. Resulta interesante que algunos adolescentes describieron una mejora en su autopercepción durante el aislamiento, al alejarse momentáneamente de la mirada externa y de la comparación social. También se mencionaron las facilidades en el acceso al equipo tratante gracias a las teleconsultas, una mejoría en el clima familiar en algunos casos y, en menor medida, el efecto positivo de ciertos espacios en redes sociales donde encontraron apoyo y testimonios de otras personas con experiencias similares.</w:t>
      </w:r>
    </w:p>
    <w:p w14:paraId="54C8ACF3" w14:textId="77777777" w:rsidR="3CE11F11" w:rsidRDefault="3CE11F11" w:rsidP="13528A3C">
      <w:pPr>
        <w:ind w:firstLine="708"/>
        <w:rPr>
          <w:rFonts w:ascii="Aptos" w:eastAsia="Aptos" w:hAnsi="Aptos" w:cs="Aptos"/>
          <w:b/>
          <w:bCs/>
        </w:rPr>
      </w:pPr>
      <w:r>
        <w:rPr>
          <w:rFonts w:ascii="Aptos" w:eastAsia="Aptos" w:hAnsi="Aptos" w:cs="Aptos"/>
          <w:b/>
          <w:bCs/>
        </w:rPr>
        <w:t>3.2.4 Aspectos perjudiciales y testimonios de los adolescentes</w:t>
      </w:r>
    </w:p>
    <w:p w14:paraId="319FBD32" w14:textId="77777777" w:rsidR="3CE11F11" w:rsidRDefault="3CE11F11" w:rsidP="13528A3C">
      <w:pPr>
        <w:ind w:firstLine="708"/>
      </w:pPr>
      <w:r>
        <w:rPr>
          <w:rFonts w:ascii="Aptos" w:eastAsia="Aptos" w:hAnsi="Aptos" w:cs="Aptos"/>
        </w:rPr>
        <w:t>En contraste, los aspectos negativos resultaron más numerosos y, en algunos casos, de mayor gravedad. El malestar en la convivencia familiar fue mencionado por el 80 % de los entrevistados, seguido por la disconformidad con los contenidos sobre imagen corporal y dietas en redes sociales (73 %), los malestares emocionales como ansiedad y depresión (60 %), las dificultades en la comunicación con el equipo tratante por la modalidad virtual (60 %) y el empeoramiento de la relación con la alimentación (33 %). Uno de los testimonios recogidos en el estudio describe el clima familiar de la siguiente manera: una adolescente identificada con las iniciales GP relató que durante la pandemia se generó una especie de guerra fría en su casa, un ambiente tan tenso que sentía que estaba caminando sobre cáscaras de huevo.</w:t>
      </w:r>
    </w:p>
    <w:p w14:paraId="5829F59D" w14:textId="77777777" w:rsidR="3CE11F11" w:rsidRDefault="3CE11F11" w:rsidP="13528A3C">
      <w:pPr>
        <w:ind w:firstLine="708"/>
      </w:pPr>
      <w:r>
        <w:rPr>
          <w:rFonts w:ascii="Aptos" w:eastAsia="Aptos" w:hAnsi="Aptos" w:cs="Aptos"/>
        </w:rPr>
        <w:t xml:space="preserve">Respecto del impacto de las redes sociales, otra de las entrevistadas, identificada como ZS, sostuvo que para las personas con TCA no hay nada peor que ese tipo de contenidos. En la misma línea, otra adolescente señaló que en plataformas </w:t>
      </w:r>
      <w:r>
        <w:rPr>
          <w:rFonts w:ascii="Aptos" w:eastAsia="Aptos" w:hAnsi="Aptos" w:cs="Aptos"/>
        </w:rPr>
        <w:lastRenderedPageBreak/>
        <w:t>como TikTok aparecían referentes que, lejos de ayudar, romantizaban el trastorno y replicaban consejos peligrosos sin ningún tipo de control. Estos testimonios resultan especialmente alarmantes porque muestran cómo, en una etapa de la vida marcada por el aislamiento y la incertidumbre, las redes sociales pudieron funcionar como un factor de riesgo adicional en lugar de un espacio de contención. También se registraron testimonios sobre un fuerte deterioro emocional: una de las adolescentes relató haber atravesado varios intentos de suicidio durante ese período, lo que evidencia la gravedad que pueden alcanzar estos cuadros cuando se combinan aislamiento, angustia y falta de contención oportuna.</w:t>
      </w:r>
    </w:p>
    <w:p w14:paraId="5CC068B1" w14:textId="77777777" w:rsidR="1035BF6D" w:rsidRDefault="1035BF6D">
      <w:r>
        <w:rPr>
          <w:rFonts w:ascii="Aptos" w:eastAsia="Aptos" w:hAnsi="Aptos" w:cs="Aptos"/>
          <w:b/>
          <w:bCs/>
        </w:rPr>
        <w:t>Cita textual 1:</w:t>
      </w:r>
      <w:r>
        <w:rPr>
          <w:rFonts w:ascii="Aptos" w:eastAsia="Aptos" w:hAnsi="Aptos" w:cs="Aptos"/>
        </w:rPr>
        <w:t xml:space="preserve"> </w:t>
      </w:r>
      <w:r>
        <w:rPr>
          <w:rFonts w:ascii="Aptos" w:eastAsia="Aptos" w:hAnsi="Aptos" w:cs="Aptos"/>
          <w:i/>
          <w:iCs/>
        </w:rPr>
        <w:t>"Los aspectos negativos percibidos más importantes fueron los malestares en la convivencia familiar (80 %) y la disconformidad con los contenidos de las redes sociales sobre la imagen corporal y dietas (73 %)."</w:t>
      </w:r>
      <w:r>
        <w:rPr>
          <w:rFonts w:ascii="Aptos" w:eastAsia="Aptos" w:hAnsi="Aptos" w:cs="Aptos"/>
        </w:rPr>
        <w:t xml:space="preserve"> </w:t>
      </w:r>
      <w:r>
        <w:rPr>
          <w:rFonts w:ascii="Aptos" w:eastAsia="Aptos" w:hAnsi="Aptos" w:cs="Aptos"/>
          <w:i/>
          <w:iCs/>
        </w:rPr>
        <w:t>(López et al., Arch Argent Pediatr., 2024)</w:t>
      </w:r>
    </w:p>
    <w:p w14:paraId="5C7D3447" w14:textId="77777777" w:rsidR="1035BF6D" w:rsidRDefault="1035BF6D">
      <w:r>
        <w:rPr>
          <w:rFonts w:ascii="Aptos" w:eastAsia="Aptos" w:hAnsi="Aptos" w:cs="Aptos"/>
          <w:b/>
          <w:bCs/>
        </w:rPr>
        <w:t>Cita textual 2:</w:t>
      </w:r>
      <w:r>
        <w:rPr>
          <w:rFonts w:ascii="Aptos" w:eastAsia="Aptos" w:hAnsi="Aptos" w:cs="Aptos"/>
        </w:rPr>
        <w:t xml:space="preserve"> </w:t>
      </w:r>
      <w:r>
        <w:rPr>
          <w:rFonts w:ascii="Aptos" w:eastAsia="Aptos" w:hAnsi="Aptos" w:cs="Aptos"/>
          <w:i/>
          <w:iCs/>
        </w:rPr>
        <w:t>"El estrés y la ansiedad pueden provocar empeoramiento de las conductas desordenadas de alimentación y conducir a comportamientos poco saludables."</w:t>
      </w:r>
      <w:r>
        <w:rPr>
          <w:rFonts w:ascii="Aptos" w:eastAsia="Aptos" w:hAnsi="Aptos" w:cs="Aptos"/>
        </w:rPr>
        <w:t xml:space="preserve"> </w:t>
      </w:r>
      <w:r>
        <w:rPr>
          <w:rFonts w:ascii="Aptos" w:eastAsia="Aptos" w:hAnsi="Aptos" w:cs="Aptos"/>
          <w:i/>
          <w:iCs/>
        </w:rPr>
        <w:t>(López et al., Arch Argent Pediatr., 2024)</w:t>
      </w:r>
    </w:p>
    <w:p w14:paraId="4A4B69CD" w14:textId="77777777" w:rsidR="1035BF6D" w:rsidRDefault="1035BF6D">
      <w:r>
        <w:rPr>
          <w:rFonts w:ascii="Aptos" w:eastAsia="Aptos" w:hAnsi="Aptos" w:cs="Aptos"/>
          <w:b/>
          <w:bCs/>
        </w:rPr>
        <w:t>Cita textual 3:</w:t>
      </w:r>
      <w:r>
        <w:rPr>
          <w:rFonts w:ascii="Aptos" w:eastAsia="Aptos" w:hAnsi="Aptos" w:cs="Aptos"/>
        </w:rPr>
        <w:t xml:space="preserve"> </w:t>
      </w:r>
      <w:r>
        <w:rPr>
          <w:rFonts w:ascii="Aptos" w:eastAsia="Aptos" w:hAnsi="Aptos" w:cs="Aptos"/>
          <w:i/>
          <w:iCs/>
        </w:rPr>
        <w:t>"Para las personas con TCA no hay nada peor que las redes sociales."</w:t>
      </w:r>
      <w:r>
        <w:rPr>
          <w:rFonts w:ascii="Aptos" w:eastAsia="Aptos" w:hAnsi="Aptos" w:cs="Aptos"/>
        </w:rPr>
        <w:t xml:space="preserve"> </w:t>
      </w:r>
      <w:r>
        <w:rPr>
          <w:rFonts w:ascii="Aptos" w:eastAsia="Aptos" w:hAnsi="Aptos" w:cs="Aptos"/>
          <w:i/>
          <w:iCs/>
        </w:rPr>
        <w:t>(testimonio de adolescente identificada como ZS, en López et al., Arch Argent Pediatr., 2024)</w:t>
      </w:r>
    </w:p>
    <w:p w14:paraId="4A26A76D" w14:textId="77777777" w:rsidR="3CE11F11" w:rsidRDefault="3CE11F11" w:rsidP="13528A3C">
      <w:pPr>
        <w:ind w:firstLine="708"/>
        <w:rPr>
          <w:rFonts w:ascii="Aptos" w:eastAsia="Aptos" w:hAnsi="Aptos" w:cs="Aptos"/>
          <w:b/>
          <w:bCs/>
        </w:rPr>
      </w:pPr>
      <w:r>
        <w:rPr>
          <w:rFonts w:ascii="Aptos" w:eastAsia="Aptos" w:hAnsi="Aptos" w:cs="Aptos"/>
          <w:b/>
          <w:bCs/>
        </w:rPr>
        <w:t>3.3 Consideración final del estado del arte</w:t>
      </w:r>
    </w:p>
    <w:p w14:paraId="47F1E527" w14:textId="77777777" w:rsidR="3CE11F11" w:rsidRDefault="3CE11F11" w:rsidP="13528A3C">
      <w:pPr>
        <w:ind w:firstLine="708"/>
      </w:pPr>
      <w:r>
        <w:rPr>
          <w:rFonts w:ascii="Aptos" w:eastAsia="Aptos" w:hAnsi="Aptos" w:cs="Aptos"/>
        </w:rPr>
        <w:t>Ambos trabajos se complementan de manera significativa para los fines de esta investigación. Mientras que el artículo de la Revista Vertex ofrece una mirada clínica y biomédica actualizada, basada en evidencia internacional sobre los mecanismos fisiopatológicos, genéticos y neurobiológicos de la anorexia y la bulimia, el estudio publicado en Archivos Argentinos de Pediatría aporta una mirada situada en el contexto local, centrada en la experiencia subjetiva de adolescentes argentinos que atravesaron estos trastornos durante un período particularmente crítico como fue la pandemia por COVID-19. Esta combinación de fuentes permite abordar la problemática desde dos planos complementarios: por un lado, el plano biomédico y universal de la enfermedad, y por otro, el plano social, familiar y vincular, profundamente influido por el contexto argentino y por fenómenos actuales como el uso intensivo de redes sociales entre los adolescentes. Ambas dimensiones resultan indispensables para comprender de manera integral la problemática de la anorexia y la bulimia en los adolescentes de Argentina, objeto de estudio de este trabajo de investigación.</w:t>
      </w:r>
    </w:p>
    <w:p w14:paraId="25F0D9DE" w14:textId="77777777" w:rsidR="13528A3C" w:rsidRDefault="13528A3C" w:rsidP="13528A3C">
      <w:pPr>
        <w:ind w:firstLine="708"/>
        <w:rPr>
          <w:rFonts w:ascii="Aptos" w:eastAsia="Aptos" w:hAnsi="Aptos" w:cs="Aptos"/>
        </w:rPr>
      </w:pPr>
    </w:p>
    <w:p w14:paraId="23E2E52E" w14:textId="77777777" w:rsidR="13528A3C" w:rsidRDefault="13528A3C" w:rsidP="13528A3C">
      <w:pPr>
        <w:ind w:firstLine="708"/>
      </w:pPr>
    </w:p>
    <w:sectPr w:rsidR="13528A3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553E55"/>
    <w:rsid w:val="002751EF"/>
    <w:rsid w:val="004E3903"/>
    <w:rsid w:val="00B64BF9"/>
    <w:rsid w:val="06DC0B86"/>
    <w:rsid w:val="099C1C50"/>
    <w:rsid w:val="0F437BBD"/>
    <w:rsid w:val="1035BF6D"/>
    <w:rsid w:val="13528A3C"/>
    <w:rsid w:val="146A80B8"/>
    <w:rsid w:val="1493D1A3"/>
    <w:rsid w:val="15D74900"/>
    <w:rsid w:val="1E8E61CE"/>
    <w:rsid w:val="268C7E2F"/>
    <w:rsid w:val="26EB2B21"/>
    <w:rsid w:val="296082A3"/>
    <w:rsid w:val="2E90803C"/>
    <w:rsid w:val="2F3B6ED3"/>
    <w:rsid w:val="36378AEB"/>
    <w:rsid w:val="37FF90CA"/>
    <w:rsid w:val="3A2EF817"/>
    <w:rsid w:val="3CE11F11"/>
    <w:rsid w:val="3D6F29D6"/>
    <w:rsid w:val="40D4C727"/>
    <w:rsid w:val="440244CE"/>
    <w:rsid w:val="4410C239"/>
    <w:rsid w:val="46C6DE2D"/>
    <w:rsid w:val="4E239184"/>
    <w:rsid w:val="4FBDF1A6"/>
    <w:rsid w:val="54553E55"/>
    <w:rsid w:val="56A85900"/>
    <w:rsid w:val="57EC2604"/>
    <w:rsid w:val="59134C6C"/>
    <w:rsid w:val="5C9C9A3B"/>
    <w:rsid w:val="5D863F75"/>
    <w:rsid w:val="5DDC48ED"/>
    <w:rsid w:val="64F88372"/>
    <w:rsid w:val="6AE92B6E"/>
    <w:rsid w:val="7132A9D9"/>
    <w:rsid w:val="73E76AE0"/>
    <w:rsid w:val="762D9226"/>
    <w:rsid w:val="7E117C1C"/>
    <w:rsid w:val="7E9348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B580"/>
  <w15:chartTrackingRefBased/>
  <w15:docId w15:val="{B8162679-5A7F-436E-8B8C-ECB15F36B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44CB0A5CFB7F469794F3E2F62947AF" ma:contentTypeVersion="3" ma:contentTypeDescription="Crear nuevo documento." ma:contentTypeScope="" ma:versionID="cb1f72ee30e379c8d0b22f69d9fb039c">
  <xsd:schema xmlns:xsd="http://www.w3.org/2001/XMLSchema" xmlns:xs="http://www.w3.org/2001/XMLSchema" xmlns:p="http://schemas.microsoft.com/office/2006/metadata/properties" xmlns:ns2="737e9a22-5258-4949-813c-b0f17db3d986" targetNamespace="http://schemas.microsoft.com/office/2006/metadata/properties" ma:root="true" ma:fieldsID="b3ab1eff0b27783f94b6dbf622b78ed5" ns2:_="">
    <xsd:import namespace="737e9a22-5258-4949-813c-b0f17db3d9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7e9a22-5258-4949-813c-b0f17db3d9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77D94B-0AE9-4C20-96FB-37D34EF1F691}"/>
</file>

<file path=customXml/itemProps2.xml><?xml version="1.0" encoding="utf-8"?>
<ds:datastoreItem xmlns:ds="http://schemas.openxmlformats.org/officeDocument/2006/customXml" ds:itemID="{F8FE9460-A730-4C93-A393-635F7896F35E}"/>
</file>

<file path=customXml/itemProps3.xml><?xml version="1.0" encoding="utf-8"?>
<ds:datastoreItem xmlns:ds="http://schemas.openxmlformats.org/officeDocument/2006/customXml" ds:itemID="{801D5FCF-58D5-4BCC-8102-B35EAA63BACB}"/>
</file>

<file path=docProps/app.xml><?xml version="1.0" encoding="utf-8"?>
<Properties xmlns="http://schemas.openxmlformats.org/officeDocument/2006/extended-properties" xmlns:vt="http://schemas.openxmlformats.org/officeDocument/2006/docPropsVTypes">
  <Template>Normal</Template>
  <TotalTime>3</TotalTime>
  <Pages>6</Pages>
  <Words>2583</Words>
  <Characters>14261</Characters>
  <Application>Microsoft Office Word</Application>
  <DocSecurity>0</DocSecurity>
  <Lines>226</Lines>
  <Paragraphs>46</Paragraphs>
  <ScaleCrop>false</ScaleCrop>
  <Company/>
  <LinksUpToDate>false</LinksUpToDate>
  <CharactersWithSpaces>16798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FEROLETO Chiara</dc:creator>
  <cp:keywords/>
  <dc:description/>
  <cp:lastModifiedBy>Mario Feroleto</cp:lastModifiedBy>
  <cp:revision>2</cp:revision>
  <dcterms:created xsi:type="dcterms:W3CDTF">2026-06-09T11:15:00Z</dcterms:created>
  <dcterms:modified xsi:type="dcterms:W3CDTF">2026-06-21T18:24:00Z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0x0101003E44CB0A5CFB7F469794F3E2F62947AF</vt:lpwstr>
  </property>
</Properties>
</file>