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ind w:firstLine="0"/>
        <w:jc w:val="left"/>
      </w:pPr>
      <w:r>
        <w:rPr>
          <w:rFonts w:ascii="Aptos" w:hAnsi="Aptos"/>
          <w:b/>
          <w:i w:val="0"/>
          <w:sz w:val="24"/>
        </w:rPr>
        <w:t xml:space="preserve">4. Marco Teórico</w:t>
      </w:r>
    </w:p>
    <w:p>
      <w:pPr>
        <w:spacing w:before="0" w:after="120"/>
        <w:ind w:firstLine="709"/>
        <w:jc w:val="left"/>
      </w:pPr>
      <w:r>
        <w:rPr>
          <w:rFonts w:ascii="Aptos" w:hAnsi="Aptos"/>
          <w:b w:val="0"/>
          <w:i w:val="0"/>
          <w:sz w:val="24"/>
        </w:rPr>
        <w:t xml:space="preserve">El marco teórico es el pilar fundamental de cualquier trabajo científico. La teoría constituye la base donde se sustentará cualquier análisis o propuesta de desarrollo. Este apartado implica analizar y exponer aquellas teorías, conceptos, definiciones, investigaciones y antecedentes que en general se consideran válidas para la contextualización de la investigación.</w:t>
      </w:r>
    </w:p>
    <w:p>
      <w:pPr>
        <w:spacing w:before="0" w:after="120"/>
        <w:ind w:firstLine="709"/>
        <w:jc w:val="left"/>
      </w:pPr>
      <w:r>
        <w:rPr>
          <w:rFonts w:ascii="Aptos" w:hAnsi="Aptos"/>
          <w:b w:val="0"/>
          <w:i w:val="0"/>
          <w:sz w:val="24"/>
        </w:rPr>
        <w:t xml:space="preserve">A continuación desarrollamos nuestro marco de referencias a través de los siguientes temas: los trastornos de la conducta alimentaria (TCA) como categoría diagnóstica general; la anorexia nerviosa; la bulimia nerviosa; la adolescencia como etapa del desarrollo psicoevolutivo; los modelos teóricos explicativos de los TCA; la imagen corporal y la autoestima en la adolescencia; y los medios de comunicación y las redes sociales.</w:t>
      </w:r>
    </w:p>
    <w:p>
      <w:pPr>
        <w:spacing w:before="200" w:after="80"/>
        <w:ind w:firstLine="0"/>
        <w:jc w:val="left"/>
      </w:pPr>
      <w:r>
        <w:rPr>
          <w:rFonts w:ascii="Aptos" w:hAnsi="Aptos"/>
          <w:b/>
          <w:i w:val="0"/>
          <w:sz w:val="24"/>
        </w:rPr>
        <w:t xml:space="preserve">4.1 Trastornos de la conducta alimentaria (TCA): definición y clasificación general</w:t>
      </w:r>
    </w:p>
    <w:p>
      <w:pPr>
        <w:spacing w:before="0" w:after="120"/>
        <w:ind w:firstLine="709"/>
        <w:jc w:val="left"/>
      </w:pPr>
      <w:r>
        <w:rPr>
          <w:rFonts w:ascii="Aptos" w:hAnsi="Aptos"/>
          <w:b w:val="0"/>
          <w:i w:val="0"/>
          <w:sz w:val="24"/>
        </w:rPr>
        <w:t xml:space="preserve">Bajo la etiqueta de trastornos de la conducta alimentaria se agrupa un conjunto de cuadros psicopatológicos graves, caracterizados por alteraciones persistentes en la forma de alimentarse o en las conductas ligadas a la ingesta, con un impacto considerable sobre la salud física, el funcionamiento psicosocial y la calidad de vida de quien los padece. No hay una causa única: intervienen factores biológicos, psicológicos, familiares y socioculturales que se combinan de un modo complejo (Fairburn y Harrison, 2003).</w:t>
      </w:r>
    </w:p>
    <w:p>
      <w:pPr>
        <w:spacing w:before="0" w:after="120"/>
        <w:ind w:firstLine="709"/>
        <w:jc w:val="left"/>
      </w:pPr>
      <w:r>
        <w:rPr>
          <w:rFonts w:ascii="Aptos" w:hAnsi="Aptos"/>
          <w:b w:val="0"/>
          <w:i w:val="0"/>
          <w:sz w:val="24"/>
        </w:rPr>
        <w:t xml:space="preserve">Así lo entienden distintos autores del campo clínico: “Los trastornos alimentarios son enfermedades mentales serias que se caracterizan por alteraciones graves de los comportamientos alimentarios, junto con pensamientos y emociones perturbadoras relacionadas con la alimentación, el peso y la forma corporal.” (Treasure, Claudino y Zucker, 2010, p. 583).</w:t>
      </w:r>
    </w:p>
    <w:p>
      <w:pPr>
        <w:spacing w:before="0" w:after="120"/>
        <w:ind w:firstLine="709"/>
        <w:jc w:val="left"/>
      </w:pPr>
      <w:r>
        <w:rPr>
          <w:rFonts w:ascii="Aptos" w:hAnsi="Aptos"/>
          <w:b w:val="0"/>
          <w:i w:val="0"/>
          <w:sz w:val="24"/>
        </w:rPr>
        <w:t xml:space="preserve">El Manual Diagnóstico y Estadístico de los Trastornos Mentales, en su quinta edición (DSM-5; American Psychiatric Association [APA], 2013), reúne estos cuadros bajo el título “Trastornos de la conducta alimentaria y de la ingesta de alimentos”, que incluye la anorexia nerviosa (AN), la bulimia nerviosa (BN), el trastorno por atracón (TA), el trastorno de evitación/restricción de la ingestión de alimentos (TERIA), la pica, el trastorno de rumiación y otras categorías residuales. La Clasificación Internacional de Enfermedades, en su undécima revisión (CIE-11; OMS, 2019), ubica estos trastornos en el bloque “Trastornos de la alimentación o de la conducta alimentaria” y mantiene criterios diagnósticos comparables, aunque con matices conceptuales que vale la pena tener en cuenta.</w:t>
      </w:r>
    </w:p>
    <w:p>
      <w:pPr>
        <w:spacing w:before="0" w:after="120"/>
        <w:ind w:firstLine="709"/>
        <w:jc w:val="left"/>
      </w:pPr>
      <w:r>
        <w:rPr>
          <w:rFonts w:ascii="Aptos" w:hAnsi="Aptos"/>
          <w:b w:val="0"/>
          <w:i w:val="0"/>
          <w:sz w:val="24"/>
        </w:rPr>
        <w:t xml:space="preserve">Estos trastornos afectan sobre todo a mujeres jóvenes, aunque su presencia entre varones y en franjas etarias mayores viene creciendo en las últimas décadas. Smink, van Hoeken y Hoek (2012) calculan que la anorexia nerviosa tiene una prevalencia de vida de entre el 0,3 % y el 1 % en mujeres, mientras que la bulimia nerviosa llega al 1 %-3 %. A esto se suma una comorbilidad elevada con trastornos del estado de ánimo, de ansiedad y de la personalidad, lo cual complica tanto el diagnóstico como el abordaje terapéutico.</w:t>
      </w:r>
    </w:p>
    <w:p>
      <w:pPr>
        <w:spacing w:before="0" w:after="120"/>
        <w:ind w:firstLine="709"/>
        <w:jc w:val="left"/>
      </w:pPr>
      <w:r>
        <w:rPr>
          <w:rFonts w:ascii="Aptos" w:hAnsi="Aptos"/>
          <w:b w:val="0"/>
          <w:i w:val="0"/>
          <w:sz w:val="24"/>
        </w:rPr>
        <w:t xml:space="preserve">La gravedad de estos cuadros queda reflejada en los datos de mortalidad: “Los trastornos de la conducta alimentaria tienen una de las tasas de mortalidad más altas entre todos los trastornos psiquiátricos, siendo la anorexia nerviosa la patología con mayor mortalidad dentro de este grupo.” (Arcelus, Mitchell, Wales y Nielsen, 2011, p. 726).</w:t>
      </w:r>
    </w:p>
    <w:p>
      <w:pPr>
        <w:spacing w:before="0" w:after="120"/>
        <w:ind w:firstLine="709"/>
        <w:jc w:val="left"/>
      </w:pPr>
      <w:r>
        <w:rPr>
          <w:rFonts w:ascii="Aptos" w:hAnsi="Aptos"/>
          <w:b w:val="0"/>
          <w:i w:val="0"/>
          <w:sz w:val="24"/>
        </w:rPr>
        <w:t xml:space="preserve">La detección temprana y el tratamiento oportuno resultan decisivos: cuanto menos tiempo pasa entre el inicio del trastorno y la intervención clínica, mayores son las chances de recuperación. Por eso conocer los modelos teóricos y los factores de riesgo se vuelve indispensable a la hora de diseñar programas de prevención dirigidos a la población adolescente (Striegel-Moore y Bulik, 2007).</w:t>
      </w:r>
    </w:p>
    <w:p>
      <w:pPr>
        <w:spacing w:before="200" w:after="80"/>
        <w:ind w:firstLine="0"/>
        <w:jc w:val="left"/>
      </w:pPr>
      <w:r>
        <w:rPr>
          <w:rFonts w:ascii="Aptos" w:hAnsi="Aptos"/>
          <w:b/>
          <w:i w:val="0"/>
          <w:sz w:val="24"/>
        </w:rPr>
        <w:t xml:space="preserve">4.2 Anorexia nerviosa: definición, criterios diagnósticos y subtipos</w:t>
      </w:r>
    </w:p>
    <w:p>
      <w:pPr>
        <w:spacing w:before="0" w:after="120"/>
        <w:ind w:firstLine="709"/>
        <w:jc w:val="left"/>
      </w:pPr>
      <w:r>
        <w:rPr>
          <w:rFonts w:ascii="Aptos" w:hAnsi="Aptos"/>
          <w:b w:val="0"/>
          <w:i w:val="0"/>
          <w:sz w:val="24"/>
        </w:rPr>
        <w:t xml:space="preserve">La anorexia nerviosa (AN) se define por la restricción sostenida de la ingesta energética, que deriva en un peso corporal marcadamente bajo, junto con un temor intenso a engordar y una alteración en la manera en que la persona percibe su propio peso o su figura. Estos tres elementos configuran, según el DSM-5 (APA, 2013), la tríada diagnóstica central del cuadro.</w:t>
      </w:r>
    </w:p>
    <w:p>
      <w:pPr>
        <w:spacing w:before="0" w:after="120"/>
        <w:ind w:firstLine="709"/>
        <w:jc w:val="left"/>
      </w:pPr>
      <w:r>
        <w:rPr>
          <w:rFonts w:ascii="Aptos" w:hAnsi="Aptos"/>
          <w:b w:val="0"/>
          <w:i w:val="0"/>
          <w:sz w:val="24"/>
        </w:rPr>
        <w:t xml:space="preserve">El propio manual lo plantea en estos términos:</w:t>
      </w:r>
    </w:p>
    <w:p>
      <w:pPr>
        <w:spacing w:before="60" w:after="120"/>
        <w:ind w:left="709" w:right="709" w:firstLine="0"/>
        <w:jc w:val="left"/>
      </w:pPr>
      <w:r>
        <w:rPr>
          <w:rFonts w:ascii="Aptos" w:hAnsi="Aptos"/>
          <w:b w:val="0"/>
          <w:i w:val="0"/>
          <w:sz w:val="22"/>
        </w:rPr>
        <w:t xml:space="preserve">Restricción de la ingesta energética en relación con las necesidades, que conduce a un peso corporal significativamente bajo con relación a la edad, el sexo, el curso del desarrollo y la salud física. El peso significativamente bajo se define como un peso que es inferior al mínimo normal o, en niños y adolescentes, inferior al mínimo esperado. (APA, 2013, p. 338)</w:t>
      </w:r>
    </w:p>
    <w:p>
      <w:pPr>
        <w:spacing w:before="0" w:after="120"/>
        <w:ind w:firstLine="709"/>
        <w:jc w:val="left"/>
      </w:pPr>
      <w:r>
        <w:rPr>
          <w:rFonts w:ascii="Aptos" w:hAnsi="Aptos"/>
          <w:b w:val="0"/>
          <w:i w:val="0"/>
          <w:sz w:val="24"/>
        </w:rPr>
        <w:t xml:space="preserve">Clínicamente, la AN se presenta bajo dos subtipos. En el subtipo restrictivo, la persona no registra episodios de atracones ni de purgas —vómito autoprovocado, uso indebido de laxantes, diuréticos o enemas— durante los últimos tres meses, y la pérdida de peso se logra principalmente a través de la dieta, el ayuno o el ejercicio excesivo. En el subtipo con atracones/purgas, en cambio, sí aparecen esos episodios recurrentes en el mismo período (APA, 2013).</w:t>
      </w:r>
    </w:p>
    <w:p>
      <w:pPr>
        <w:spacing w:before="0" w:after="120"/>
        <w:ind w:firstLine="709"/>
        <w:jc w:val="left"/>
      </w:pPr>
      <w:r>
        <w:rPr>
          <w:rFonts w:ascii="Aptos" w:hAnsi="Aptos"/>
          <w:b w:val="0"/>
          <w:i w:val="0"/>
          <w:sz w:val="24"/>
        </w:rPr>
        <w:t xml:space="preserve">Las consecuencias médicas de la AN pueden comprometer prácticamente cualquier sistema del organismo: amenorrea y alteraciones endocrinas, pérdida de densidad ósea (osteopenia u osteoporosis), arritmias cardíacas por desequilibrios electrolíticos, anemia, hipotensión, bradicardia, lanugo y enlentecimiento del vaciado gástrico, entre otras. En el plano psicológico, suele acompañarse de síntomas depresivos, ansiedad, rigidez cognitiva, perfeccionismo y dificultades para regular las emociones (Treasure et al., 2010).</w:t>
      </w:r>
    </w:p>
    <w:p>
      <w:pPr>
        <w:spacing w:before="0" w:after="120"/>
        <w:ind w:firstLine="709"/>
        <w:jc w:val="left"/>
      </w:pPr>
      <w:r>
        <w:rPr>
          <w:rFonts w:ascii="Aptos" w:hAnsi="Aptos"/>
          <w:b w:val="0"/>
          <w:i w:val="0"/>
          <w:sz w:val="24"/>
        </w:rPr>
        <w:t xml:space="preserve">La CIE-11 (OMS, 2019) conserva una conceptualización similar a la del DSM-5, pero con una diferencia que no es menor: no exige de manera obligatoria la presencia de distorsiones cognitivas sobre el peso o la figura, lo que permite reconocer presentaciones atípicas que el DSM-5 tendería a clasificar como “otro trastorno alimentario especificado”. Este matiz cobra particular relevancia para el diagnóstico en culturas no occidentales y en la población masculina.</w:t>
      </w:r>
    </w:p>
    <w:p>
      <w:pPr>
        <w:spacing w:before="200" w:after="80"/>
        <w:ind w:firstLine="0"/>
        <w:jc w:val="left"/>
      </w:pPr>
      <w:r>
        <w:rPr>
          <w:rFonts w:ascii="Aptos" w:hAnsi="Aptos"/>
          <w:b/>
          <w:i w:val="0"/>
          <w:sz w:val="24"/>
        </w:rPr>
        <w:t xml:space="preserve">4.3 Bulimia nerviosa: definición, criterios diagnósticos y subtipos</w:t>
      </w:r>
    </w:p>
    <w:p>
      <w:pPr>
        <w:spacing w:before="0" w:after="120"/>
        <w:ind w:firstLine="709"/>
        <w:jc w:val="left"/>
      </w:pPr>
      <w:r>
        <w:rPr>
          <w:rFonts w:ascii="Aptos" w:hAnsi="Aptos"/>
          <w:b w:val="0"/>
          <w:i w:val="0"/>
          <w:sz w:val="24"/>
        </w:rPr>
        <w:t xml:space="preserve">La bulimia nerviosa (BN) se caracteriza por episodios recurrentes de atracones —ingerir, en un lapso acotado, una cantidad de comida notablemente mayor a la que consumiría la mayoría de las personas en circunstancias similares, con una sensación de pérdida de control sobre lo que se come— seguidos de conductas compensatorias inapropiadas para evitar el aumento de peso. La autoevaluación de quien la padece está fuertemente condicionada por su figura y su peso corporal (APA, 2013).</w:t>
      </w:r>
    </w:p>
    <w:p>
      <w:pPr>
        <w:spacing w:before="0" w:after="120"/>
        <w:ind w:firstLine="709"/>
        <w:jc w:val="left"/>
      </w:pPr>
      <w:r>
        <w:rPr>
          <w:rFonts w:ascii="Aptos" w:hAnsi="Aptos"/>
          <w:b w:val="0"/>
          <w:i w:val="0"/>
          <w:sz w:val="24"/>
        </w:rPr>
        <w:t xml:space="preserve">El DSM-5 describe el episodio de atracón del siguiente modo:</w:t>
      </w:r>
    </w:p>
    <w:p>
      <w:pPr>
        <w:spacing w:before="60" w:after="120"/>
        <w:ind w:left="709" w:right="709" w:firstLine="0"/>
        <w:jc w:val="left"/>
      </w:pPr>
      <w:r>
        <w:rPr>
          <w:rFonts w:ascii="Aptos" w:hAnsi="Aptos"/>
          <w:b w:val="0"/>
          <w:i w:val="0"/>
          <w:sz w:val="22"/>
        </w:rPr>
        <w:t xml:space="preserve">Episodios recurrentes de atracones. Un episodio de atracón se caracteriza por los dos hechos siguientes: 1) ingestión, en un período determinado, de una cantidad de alimentos que es claramente superior a la que la mayoría de las personas ingerirían en un período similar en circunstancias parecidas; 2) sensación de falta de control sobre lo que se ingiere durante el episodio. (APA, 2013, p. 345)</w:t>
      </w:r>
    </w:p>
    <w:p>
      <w:pPr>
        <w:spacing w:before="0" w:after="120"/>
        <w:ind w:firstLine="709"/>
        <w:jc w:val="left"/>
      </w:pPr>
      <w:r>
        <w:rPr>
          <w:rFonts w:ascii="Aptos" w:hAnsi="Aptos"/>
          <w:b w:val="0"/>
          <w:i w:val="0"/>
          <w:sz w:val="24"/>
        </w:rPr>
        <w:t xml:space="preserve">Para que el diagnóstico de BN se sostenga según el DSM-5, tanto los atracones como las conductas compensatorias deben repetirse, en promedio, al menos una vez por semana durante tres meses. Entre esas conductas compensatorias, las más frecuentes son el vómito autoprovocado, el uso indebido de laxantes, diuréticos o enemas, el ayuno y el ejercicio excesivo. A diferencia de la AN, en la BN el peso suele mantenerse en un rango normal o apenas por encima, lo que dificulta su detección y demora la consulta profesional.</w:t>
      </w:r>
    </w:p>
    <w:p>
      <w:pPr>
        <w:spacing w:before="0" w:after="120"/>
        <w:ind w:firstLine="709"/>
        <w:jc w:val="left"/>
      </w:pPr>
      <w:r>
        <w:rPr>
          <w:rFonts w:ascii="Aptos" w:hAnsi="Aptos"/>
          <w:b w:val="0"/>
          <w:i w:val="0"/>
          <w:sz w:val="24"/>
        </w:rPr>
        <w:t xml:space="preserve">Las consecuencias médicas de la BN están asociadas, sobre todo, a los métodos purgativos: erosión del esmalte dental y caries por la exposición reiterada al ácido gástrico, hipertrofia de las glándulas parótidas —que produce la típica “cara de ardilla”—, signo de Russell (callosidades en el dorso de los nudillos por el vómito autoprovocado), alteraciones electrolíticas como la hipopotasemia —capaz de generar arritmias graves—, trastornos gastrointestinales e irregularidad menstrual (Fairburn y Harrison, 2003).</w:t>
      </w:r>
    </w:p>
    <w:p>
      <w:pPr>
        <w:spacing w:before="0" w:after="120"/>
        <w:ind w:firstLine="709"/>
        <w:jc w:val="left"/>
      </w:pPr>
      <w:r>
        <w:rPr>
          <w:rFonts w:ascii="Aptos" w:hAnsi="Aptos"/>
          <w:b w:val="0"/>
          <w:i w:val="0"/>
          <w:sz w:val="24"/>
        </w:rPr>
        <w:t xml:space="preserve">Desde el plano psicológico, la BN suele ir de la mano de baja autoestima, impulsividad, dificultades para regular las emociones, estados de ánimo disfóricos y pensamientos automáticos negativos en torno a la imagen corporal. Fairburn (2008) ubica el núcleo psicopatológico de la BN en la sobrevaloración del peso y la figura como eje central de la autoevaluación, lo cual dispara las conductas restrictivas que, a su vez, alimentan los episodios de atracón.</w:t>
      </w:r>
    </w:p>
    <w:p>
      <w:pPr>
        <w:spacing w:before="200" w:after="80"/>
        <w:ind w:firstLine="0"/>
        <w:jc w:val="left"/>
      </w:pPr>
      <w:r>
        <w:rPr>
          <w:rFonts w:ascii="Aptos" w:hAnsi="Aptos"/>
          <w:b/>
          <w:i w:val="0"/>
          <w:sz w:val="24"/>
        </w:rPr>
        <w:t xml:space="preserve">4.4 La adolescencia como etapa del desarrollo psicoevolutivo</w:t>
      </w:r>
    </w:p>
    <w:p>
      <w:pPr>
        <w:spacing w:before="0" w:after="120"/>
        <w:ind w:firstLine="709"/>
        <w:jc w:val="left"/>
      </w:pPr>
      <w:r>
        <w:rPr>
          <w:rFonts w:ascii="Aptos" w:hAnsi="Aptos"/>
          <w:b w:val="0"/>
          <w:i w:val="0"/>
          <w:sz w:val="24"/>
        </w:rPr>
        <w:t xml:space="preserve">La Organización Mundial de la Salud (OMS) delimita la adolescencia entre los 10 y los 19 años, aunque desde una mirada biopsicosocial esos límites son bastante más flexibles y varían según el contexto cultural y la trayectoria de cada persona. Se trata de una etapa marcada por transformaciones físicas, cognitivas, emocionales e identitarias profundas, que dejan al adolescente particularmente expuesto a la influencia de sus pares, los medios de comunicación y los modelos sociales dominantes (Papalia, Feldman y Martorell, 2012).</w:t>
      </w:r>
    </w:p>
    <w:p>
      <w:pPr>
        <w:spacing w:before="0" w:after="120"/>
        <w:ind w:firstLine="709"/>
        <w:jc w:val="left"/>
      </w:pPr>
      <w:r>
        <w:rPr>
          <w:rFonts w:ascii="Aptos" w:hAnsi="Aptos"/>
          <w:b w:val="0"/>
          <w:i w:val="0"/>
          <w:sz w:val="24"/>
        </w:rPr>
        <w:t xml:space="preserve">Papalia, Feldman y Martorell definen esta etapa de la siguiente manera:</w:t>
      </w:r>
    </w:p>
    <w:p>
      <w:pPr>
        <w:spacing w:before="60" w:after="120"/>
        <w:ind w:left="709" w:right="709" w:firstLine="0"/>
        <w:jc w:val="left"/>
      </w:pPr>
      <w:r>
        <w:rPr>
          <w:rFonts w:ascii="Aptos" w:hAnsi="Aptos"/>
          <w:b w:val="0"/>
          <w:i w:val="0"/>
          <w:sz w:val="22"/>
        </w:rPr>
        <w:t xml:space="preserve">La adolescencia es el período de transición entre la infancia y la adultez. Implica cambios importantes en el tamaño, la forma y el funcionamiento del cuerpo; en el pensamiento, las capacidades y las relaciones; y en los sentimientos, las actitudes y las expectativas respecto a uno mismo y los demás. (Papalia, Feldman y Martorell, 2012, p. 354)</w:t>
      </w:r>
    </w:p>
    <w:p>
      <w:pPr>
        <w:spacing w:before="0" w:after="120"/>
        <w:ind w:firstLine="709"/>
        <w:jc w:val="left"/>
      </w:pPr>
      <w:r>
        <w:rPr>
          <w:rFonts w:ascii="Aptos" w:hAnsi="Aptos"/>
          <w:b w:val="0"/>
          <w:i w:val="0"/>
          <w:sz w:val="24"/>
        </w:rPr>
        <w:t xml:space="preserve">En el plano biológico, la pubertad trae consigo cambios hormonales que modifican la morfología corporal y pueden generar malestar con la propia imagen, sobre todo en las chicas, cuyo aumento natural de tejido adiposo choca con los ideales de delgadez que promueve la cultura. En el plano cognitivo, el pensamiento formal le permite al adolescente imaginar posibilidades, reflexionar sobre su identidad y compararse con estándares abstractos —el cuerpo incluido—, algo que puede acentuar la insatisfacción corporal cuando lo que percibe no coincide con lo que idealiza (Stice, 2002).</w:t>
      </w:r>
    </w:p>
    <w:p>
      <w:pPr>
        <w:spacing w:before="0" w:after="120"/>
        <w:ind w:firstLine="709"/>
        <w:jc w:val="left"/>
      </w:pPr>
      <w:r>
        <w:rPr>
          <w:rFonts w:ascii="Aptos" w:hAnsi="Aptos"/>
          <w:b w:val="0"/>
          <w:i w:val="0"/>
          <w:sz w:val="24"/>
        </w:rPr>
        <w:t xml:space="preserve">La construcción de la identidad —proceso que Erikson (1968) ubica en el centro de la adolescencia— incluye a la identidad corporal como una de sus piezas clave. El adolescente vive su cuerpo como objeto de mirada social y lo integra a su autoconcepto. Esa centralidad ayuda a entender por qué los TCA son más frecuentes en esta franja etaria: la insatisfacción corporal es uno de los factores de riesgo mejor documentados para el desarrollo de conductas alimentarias patológicas (Stice y Shaw, 2002).</w:t>
      </w:r>
    </w:p>
    <w:p>
      <w:pPr>
        <w:spacing w:before="0" w:after="120"/>
        <w:ind w:firstLine="709"/>
        <w:jc w:val="left"/>
      </w:pPr>
      <w:r>
        <w:rPr>
          <w:rFonts w:ascii="Aptos" w:hAnsi="Aptos"/>
          <w:b w:val="0"/>
          <w:i w:val="0"/>
          <w:sz w:val="24"/>
        </w:rPr>
        <w:t xml:space="preserve">Desde el desarrollo socioemocional, la adolescencia trae una mayor orientación hacia el grupo de pares, cuya aprobación pesa fuerte en la autoestima del joven. Los comentarios sobre el cuerpo —sean positivos o negativos— que vienen de pares o familiares pueden influir de manera significativa sobre la imagen corporal y el riesgo de desarrollar conductas alimentarias disfuncionales. De hecho, las burlas relacionadas con el peso funcionan como un predictor reconocido de insatisfacción corporal y de ideación de dieta en esta etapa (Thompson y Stice, 2001).</w:t>
      </w:r>
    </w:p>
    <w:p>
      <w:pPr>
        <w:spacing w:before="200" w:after="80"/>
        <w:ind w:firstLine="0"/>
        <w:jc w:val="left"/>
      </w:pPr>
      <w:r>
        <w:rPr>
          <w:rFonts w:ascii="Aptos" w:hAnsi="Aptos"/>
          <w:b/>
          <w:i w:val="0"/>
          <w:sz w:val="24"/>
        </w:rPr>
        <w:t xml:space="preserve">4.5 Modelos teóricos explicativos de los TCA</w:t>
      </w:r>
    </w:p>
    <w:p>
      <w:pPr>
        <w:spacing w:before="0" w:after="120"/>
        <w:ind w:firstLine="709"/>
        <w:jc w:val="left"/>
      </w:pPr>
      <w:r>
        <w:rPr>
          <w:rFonts w:ascii="Aptos" w:hAnsi="Aptos"/>
          <w:b w:val="0"/>
          <w:i w:val="0"/>
          <w:sz w:val="24"/>
        </w:rPr>
        <w:t xml:space="preserve">Frente a una etiología tan compleja, la comunidad científica desarrolló distintos modelos teóricos que buscan explicar el origen y el sostenimiento de los TCA desde ángulos diferentes. Hoy existe cierto consenso en que ningún modelo alcanza por sí solo para dar cuenta del fenómeno completo, motivo por el cual los enfoques integrativos son los que gozan de mayor aceptación (Fairburn, 2008). A continuación se presentan los principales.</w:t>
      </w:r>
    </w:p>
    <w:p>
      <w:pPr>
        <w:spacing w:before="200" w:after="80"/>
        <w:ind w:firstLine="0"/>
        <w:jc w:val="left"/>
      </w:pPr>
      <w:r>
        <w:rPr>
          <w:rFonts w:ascii="Aptos" w:hAnsi="Aptos"/>
          <w:b/>
          <w:i w:val="0"/>
          <w:sz w:val="24"/>
        </w:rPr>
        <w:t xml:space="preserve">4.5.1 Modelo biológico</w:t>
      </w:r>
    </w:p>
    <w:p>
      <w:pPr>
        <w:spacing w:before="0" w:after="120"/>
        <w:ind w:firstLine="709"/>
        <w:jc w:val="left"/>
      </w:pPr>
      <w:r>
        <w:rPr>
          <w:rFonts w:ascii="Aptos" w:hAnsi="Aptos"/>
          <w:b w:val="0"/>
          <w:i w:val="0"/>
          <w:sz w:val="24"/>
        </w:rPr>
        <w:t xml:space="preserve">Este modelo sostiene que existen predisposiciones genéticas y neurobiológicas que aumentan la vulnerabilidad a desarrollar un TCA. Los estudios con gemelos muestran una heredabilidad moderada a alta tanto para la AN como para la BN, con estimaciones de entre el 50 % y el 83 % para la anorexia nerviosa (Klump, Bulik, Kaye, Treasure y Tyson, 2009). A nivel neurobiológico, se identificaron alteraciones en los sistemas serotoninérgico y dopaminérgico, además de disfunciones en los circuitos de recompensa que podrían explicar tanto la restricción compulsiva como los episodios de atracón.</w:t>
      </w:r>
    </w:p>
    <w:p>
      <w:pPr>
        <w:spacing w:before="0" w:after="120"/>
        <w:ind w:firstLine="709"/>
        <w:jc w:val="left"/>
      </w:pPr>
      <w:r>
        <w:rPr>
          <w:rFonts w:ascii="Aptos" w:hAnsi="Aptos"/>
          <w:b w:val="0"/>
          <w:i w:val="0"/>
          <w:sz w:val="24"/>
        </w:rPr>
        <w:t xml:space="preserve">Los propios autores lo plantean sin rodeos: “Los estudios de genética conductual indican de manera consistente que los trastornos alimentarios son moderadamente hereditarios, siendo las estimaciones de heredabilidad para la anorexia nerviosa las más altas reportadas dentro de los trastornos psiquiátricos.” (Klump, Bulik, Kaye, Treasure y Tyson, 2009, p. 830).</w:t>
      </w:r>
    </w:p>
    <w:p>
      <w:pPr>
        <w:spacing w:before="200" w:after="80"/>
        <w:ind w:firstLine="0"/>
        <w:jc w:val="left"/>
      </w:pPr>
      <w:r>
        <w:rPr>
          <w:rFonts w:ascii="Aptos" w:hAnsi="Aptos"/>
          <w:b/>
          <w:i w:val="0"/>
          <w:sz w:val="24"/>
        </w:rPr>
        <w:t xml:space="preserve">4.5.2 Modelo psicológico</w:t>
      </w:r>
    </w:p>
    <w:p>
      <w:pPr>
        <w:spacing w:before="0" w:after="120"/>
        <w:ind w:firstLine="709"/>
        <w:jc w:val="left"/>
      </w:pPr>
      <w:r>
        <w:rPr>
          <w:rFonts w:ascii="Aptos" w:hAnsi="Aptos"/>
          <w:b w:val="0"/>
          <w:i w:val="0"/>
          <w:sz w:val="24"/>
        </w:rPr>
        <w:t xml:space="preserve">Los modelos psicológicos ponen el foco en variables cognitivas, emocionales y de personalidad. Desde el enfoque cognitivo-conductual, Fairburn (2008) propone el Modelo Cognitivo Transdiagnóstico, que ubica en el centro la sobrevaloración del peso, la figura y su control. Esa sobrevaloración dispara conductas de dieta y restricción que, paradójicamente, terminan aumentando el riesgo de atracones y perpetuando el ciclo. El perfeccionismo clínico, la baja autoestima nuclear, las dificultades interpersonales y la intolerancia a los estados emocionales negativos funcionan como mecanismos que sostienen el cuadro.</w:t>
      </w:r>
    </w:p>
    <w:p>
      <w:pPr>
        <w:spacing w:before="0" w:after="120"/>
        <w:ind w:firstLine="709"/>
        <w:jc w:val="left"/>
      </w:pPr>
      <w:r>
        <w:rPr>
          <w:rFonts w:ascii="Aptos" w:hAnsi="Aptos"/>
          <w:b w:val="0"/>
          <w:i w:val="0"/>
          <w:sz w:val="24"/>
        </w:rPr>
        <w:t xml:space="preserve">Desde el psicoanálisis, los TCA se leyeron como expresiones simbólicas de conflictos ligados a la autonomía, la separación-individuación y la sexualidad. Bruch (1973) fue de las primeras en describir la AN como una búsqueda de control y autonomía en personas con escasa diferenciación del self respecto de sus figuras parentales. Más adelante, los modelos basados en la teoría del apego señalaron que los estilos de apego inseguro —el ansioso y el desorganizado, en particular— se asocian a mayor riesgo de TCA, posiblemente por su vínculo con las dificultades para regular las emociones (Ward, Ramsay y Treasure, 2000).</w:t>
      </w:r>
    </w:p>
    <w:p>
      <w:pPr>
        <w:spacing w:before="200" w:after="80"/>
        <w:ind w:firstLine="0"/>
        <w:jc w:val="left"/>
      </w:pPr>
      <w:r>
        <w:rPr>
          <w:rFonts w:ascii="Aptos" w:hAnsi="Aptos"/>
          <w:b/>
          <w:i w:val="0"/>
          <w:sz w:val="24"/>
        </w:rPr>
        <w:t xml:space="preserve">4.5.3 Modelo familiar</w:t>
      </w:r>
    </w:p>
    <w:p>
      <w:pPr>
        <w:spacing w:before="0" w:after="120"/>
        <w:ind w:firstLine="709"/>
        <w:jc w:val="left"/>
      </w:pPr>
      <w:r>
        <w:rPr>
          <w:rFonts w:ascii="Aptos" w:hAnsi="Aptos"/>
          <w:b w:val="0"/>
          <w:i w:val="0"/>
          <w:sz w:val="24"/>
        </w:rPr>
        <w:t xml:space="preserve">Desde la perspectiva sistémica, este modelo sostiene que ciertas dinámicas y estructuras familiares pueden favorecer el desarrollo y el mantenimiento de los TCA. Minuchin, Rosman y Baker (1978) describieron el “sistema familiar psicosomático”, caracterizado por aglutinamiento, sobreprotección, rigidez, dificultad para resolver conflictos e involucramiento del hijo en las disputas parentales. En estas familias, el síntoma alimentario cumple una función homeostática: desvía la atención de los conflictos relacionales hacia la enfermedad del paciente designado.</w:t>
      </w:r>
    </w:p>
    <w:p>
      <w:pPr>
        <w:spacing w:before="0" w:after="120"/>
        <w:ind w:firstLine="709"/>
        <w:jc w:val="left"/>
      </w:pPr>
      <w:r>
        <w:rPr>
          <w:rFonts w:ascii="Aptos" w:hAnsi="Aptos"/>
          <w:b w:val="0"/>
          <w:i w:val="0"/>
          <w:sz w:val="24"/>
        </w:rPr>
        <w:t xml:space="preserve">Investigaciones más recientes matizaron este modelo al señalar que las características familiares observadas pueden ser, en parte, consecuencia del trastorno y no solo su causa. Aun así, hay evidencia consistente de que las actitudes parentales negativas respecto del peso y la alimentación, los comentarios críticos sobre la figura corporal y los antecedentes familiares de TCA o de trastornos del estado de ánimo aumentan el riesgo de que los hijos desarrollen conductas alimentarias patológicas (Striegel-Moore y Bulik, 2007).</w:t>
      </w:r>
    </w:p>
    <w:p>
      <w:pPr>
        <w:spacing w:before="200" w:after="80"/>
        <w:ind w:firstLine="0"/>
        <w:jc w:val="left"/>
      </w:pPr>
      <w:r>
        <w:rPr>
          <w:rFonts w:ascii="Aptos" w:hAnsi="Aptos"/>
          <w:b/>
          <w:i w:val="0"/>
          <w:sz w:val="24"/>
        </w:rPr>
        <w:t xml:space="preserve">4.5.4 Modelo sociocultural</w:t>
      </w:r>
    </w:p>
    <w:p>
      <w:pPr>
        <w:spacing w:before="0" w:after="120"/>
        <w:ind w:firstLine="709"/>
        <w:jc w:val="left"/>
      </w:pPr>
      <w:r>
        <w:rPr>
          <w:rFonts w:ascii="Aptos" w:hAnsi="Aptos"/>
          <w:b w:val="0"/>
          <w:i w:val="0"/>
          <w:sz w:val="24"/>
        </w:rPr>
        <w:t xml:space="preserve">Este modelo propone que los TCA surgen en contextos culturales que promueven ideales de delgadez inalcanzables para la mayoría de las personas. Desarrollado originalmente por Garner y Garfinkel (1980) y sistematizado después por Striegel-Moore (1993), sostiene que interiorizar los estándares de belleza dominantes y sentir presión para alcanzarlos genera insatisfacción corporal, la cual predice a su vez el inicio de conductas alimentarias restrictivas y patológicas.</w:t>
      </w:r>
    </w:p>
    <w:p>
      <w:pPr>
        <w:spacing w:before="0" w:after="120"/>
        <w:ind w:firstLine="709"/>
        <w:jc w:val="left"/>
      </w:pPr>
      <w:r>
        <w:rPr>
          <w:rFonts w:ascii="Aptos" w:hAnsi="Aptos"/>
          <w:b w:val="0"/>
          <w:i w:val="0"/>
          <w:sz w:val="24"/>
        </w:rPr>
        <w:t xml:space="preserve">Striegel-Moore y Bulik lo plantean de manera contundente:</w:t>
      </w:r>
    </w:p>
    <w:p>
      <w:pPr>
        <w:spacing w:before="60" w:after="120"/>
        <w:ind w:left="709" w:right="709" w:firstLine="0"/>
        <w:jc w:val="left"/>
      </w:pPr>
      <w:r>
        <w:rPr>
          <w:rFonts w:ascii="Aptos" w:hAnsi="Aptos"/>
          <w:b w:val="0"/>
          <w:i w:val="0"/>
          <w:sz w:val="22"/>
        </w:rPr>
        <w:t xml:space="preserve">La cultura occidental contemporánea promueve un ideal de delgadez extremo para las mujeres que está en tensión directa con la biología femenina normal y con el entorno obesogénico en el que vivimos, creando las condiciones perfectas para el desarrollo de los trastornos alimentarios. (Striegel-Moore y Bulik, 2007, p. 184)</w:t>
      </w:r>
    </w:p>
    <w:p>
      <w:pPr>
        <w:spacing w:before="0" w:after="120"/>
        <w:ind w:firstLine="709"/>
        <w:jc w:val="left"/>
      </w:pPr>
      <w:r>
        <w:rPr>
          <w:rFonts w:ascii="Aptos" w:hAnsi="Aptos"/>
          <w:b w:val="0"/>
          <w:i w:val="0"/>
          <w:sz w:val="24"/>
        </w:rPr>
        <w:t xml:space="preserve">La Teoría de la Objetivación (Fredrickson y Roberts, 1997) es un aporte clave dentro de este modelo. Plantea que, en las sociedades occidentales, el cuerpo femenino es sistemáticamente objetivado —tratado como algo a evaluar y controlar desde una mirada externa—, lo que lleva a las mujeres a internalizar esa mirada y a autovigilarse de manera constante. Esa autoobjetivación se asocia a vergüenza corporal, ansiedad física y supresión de las sensaciones corporales internas, todos factores que incrementan el riesgo de TCA.</w:t>
      </w:r>
    </w:p>
    <w:p>
      <w:pPr>
        <w:spacing w:before="200" w:after="80"/>
        <w:ind w:firstLine="0"/>
        <w:jc w:val="left"/>
      </w:pPr>
      <w:r>
        <w:rPr>
          <w:rFonts w:ascii="Aptos" w:hAnsi="Aptos"/>
          <w:b/>
          <w:i w:val="0"/>
          <w:sz w:val="24"/>
        </w:rPr>
        <w:t xml:space="preserve">4.6 Imagen corporal y autoestima en la adolescencia</w:t>
      </w:r>
    </w:p>
    <w:p>
      <w:pPr>
        <w:spacing w:before="0" w:after="120"/>
        <w:ind w:firstLine="709"/>
        <w:jc w:val="left"/>
      </w:pPr>
      <w:r>
        <w:rPr>
          <w:rFonts w:ascii="Aptos" w:hAnsi="Aptos"/>
          <w:b w:val="0"/>
          <w:i w:val="0"/>
          <w:sz w:val="24"/>
        </w:rPr>
        <w:t xml:space="preserve">La imagen corporal puede pensarse como la representación mental —multidimensional— que una persona construye de su propio cuerpo, con componentes perceptivos (cómo lo percibe), cognitivo-afectivos (qué piensa y siente sobre él) y conductuales (cómo actúa en función de esa percepción). Cash y Pruzinsky (2002) remarcan que esta imagen no refleja fielmente la realidad física, sino que es una construcción subjetiva, moldeada por experiencias pasadas, contextos culturales y vínculos interpersonales.</w:t>
      </w:r>
    </w:p>
    <w:p>
      <w:pPr>
        <w:spacing w:before="0" w:after="120"/>
        <w:ind w:firstLine="709"/>
        <w:jc w:val="left"/>
      </w:pPr>
      <w:r>
        <w:rPr>
          <w:rFonts w:ascii="Aptos" w:hAnsi="Aptos"/>
          <w:b w:val="0"/>
          <w:i w:val="0"/>
          <w:sz w:val="24"/>
        </w:rPr>
        <w:t xml:space="preserve">Cash lo define de este modo:</w:t>
      </w:r>
    </w:p>
    <w:p>
      <w:pPr>
        <w:spacing w:before="60" w:after="120"/>
        <w:ind w:left="709" w:right="709" w:firstLine="0"/>
        <w:jc w:val="left"/>
      </w:pPr>
      <w:r>
        <w:rPr>
          <w:rFonts w:ascii="Aptos" w:hAnsi="Aptos"/>
          <w:b w:val="0"/>
          <w:i w:val="0"/>
          <w:sz w:val="22"/>
        </w:rPr>
        <w:t xml:space="preserve">La imagen corporal no es lo que uno ve en el espejo. Es el retrato mental que tiene de sí mismo: la imagen que construye en su mente; sus pensamientos, sentimientos, juicios, sensaciones, conciencia y conductas relacionadas con su propio cuerpo. (Cash, 2004, p. 1)</w:t>
      </w:r>
    </w:p>
    <w:p>
      <w:pPr>
        <w:spacing w:before="0" w:after="120"/>
        <w:ind w:firstLine="709"/>
        <w:jc w:val="left"/>
      </w:pPr>
      <w:r>
        <w:rPr>
          <w:rFonts w:ascii="Aptos" w:hAnsi="Aptos"/>
          <w:b w:val="0"/>
          <w:i w:val="0"/>
          <w:sz w:val="24"/>
        </w:rPr>
        <w:t xml:space="preserve">La insatisfacción corporal —la brecha entre la figura percibida y la figura ideal— es el componente negativo de la imagen corporal más ligado a los TCA. En su revisión metaanalítica, Stice (2002) la identificó como uno de los predictores más sólidos tanto del inicio de las conductas alimentarias patológicas como de su mantenimiento. En la adolescencia, este factor de riesgo llega a su punto más alto por la combinación de cambios físicos puberales, presión social sobre la apariencia y mayor exposición a modelos mediáticos idealizados.</w:t>
      </w:r>
    </w:p>
    <w:p>
      <w:pPr>
        <w:spacing w:before="0" w:after="120"/>
        <w:ind w:firstLine="709"/>
        <w:jc w:val="left"/>
      </w:pPr>
      <w:r>
        <w:rPr>
          <w:rFonts w:ascii="Aptos" w:hAnsi="Aptos"/>
          <w:b w:val="0"/>
          <w:i w:val="0"/>
          <w:sz w:val="24"/>
        </w:rPr>
        <w:t xml:space="preserve">La autoestima —entendida como la valoración global que la persona hace de sí misma (Rosenberg, 1965)— está estrechamente ligada a la imagen corporal durante la adolescencia. Distintos estudios documentaron una asociación negativa significativa entre insatisfacción corporal y autoestima global, sobre todo en chicas adolescentes (Ata, Ludden y Lally, 2007). Esta relación funciona en ambos sentidos: la baja autoestima favorece la insatisfacción corporal al volver a la persona más sensible a la mirada externa, mientras que la insatisfacción corporal deteriora la autoestima al convertir al cuerpo en una fuente constante de evaluación negativa.</w:t>
      </w:r>
    </w:p>
    <w:p>
      <w:pPr>
        <w:spacing w:before="0" w:after="120"/>
        <w:ind w:firstLine="709"/>
        <w:jc w:val="left"/>
      </w:pPr>
      <w:r>
        <w:rPr>
          <w:rFonts w:ascii="Aptos" w:hAnsi="Aptos"/>
          <w:b w:val="0"/>
          <w:i w:val="0"/>
          <w:sz w:val="24"/>
        </w:rPr>
        <w:t xml:space="preserve">La teoría de la comparación social (Festinger, 1954) ayuda a entender cómo la exposición a cuerpos idealizados —en medios, redes sociales o en el entorno cercano— conduce a la insatisfacción corporal. Al comparar su propio cuerpo con esos estándares inalcanzables, el adolescente construye una evaluación negativa de sí mismo que puede derivar en conductas de control alimentario y ejercicio compulsivo, como intento de achicar esa brecha percibida (Grabe, Ward y Hyde, 2008).</w:t>
      </w:r>
    </w:p>
    <w:p>
      <w:pPr>
        <w:spacing w:before="200" w:after="80"/>
        <w:ind w:firstLine="0"/>
        <w:jc w:val="left"/>
      </w:pPr>
      <w:r>
        <w:rPr>
          <w:rFonts w:ascii="Aptos" w:hAnsi="Aptos"/>
          <w:b/>
          <w:i w:val="0"/>
          <w:sz w:val="24"/>
        </w:rPr>
        <w:t xml:space="preserve">4.7 Medios de comunicación y redes sociales: marco conceptual sobre la imagen corporal</w:t>
      </w:r>
    </w:p>
    <w:p>
      <w:pPr>
        <w:spacing w:before="0" w:after="120"/>
        <w:ind w:firstLine="709"/>
        <w:jc w:val="left"/>
      </w:pPr>
      <w:r>
        <w:rPr>
          <w:rFonts w:ascii="Aptos" w:hAnsi="Aptos"/>
          <w:b w:val="0"/>
          <w:i w:val="0"/>
          <w:sz w:val="24"/>
        </w:rPr>
        <w:t xml:space="preserve">Los medios masivos y, más recientemente, las redes sociales funcionan como vectores centrales de transmisión y amplificación de los ideales de belleza dominantes. Durante décadas, la moda, la publicidad y el entretenimiento promovieron un ideal de delgadez extrema para las mujeres, cada vez más alejado de la morfología corporal promedio de la población. Garner, Garfinkel, Schwartz y Thompson (1980) documentaron que el peso de las modelos y de las ganadoras del concurso Miss América bajó de manera notoria entre las décadas de 1960 y 1980, justo cuando el peso promedio de las mujeres estadounidenses iba en aumento.</w:t>
      </w:r>
    </w:p>
    <w:p>
      <w:pPr>
        <w:spacing w:before="0" w:after="120"/>
        <w:ind w:firstLine="709"/>
        <w:jc w:val="left"/>
      </w:pPr>
      <w:r>
        <w:rPr>
          <w:rFonts w:ascii="Aptos" w:hAnsi="Aptos"/>
          <w:b w:val="0"/>
          <w:i w:val="0"/>
          <w:sz w:val="24"/>
        </w:rPr>
        <w:t xml:space="preserve">El análisis de contenido de estos medios confirma esa tendencia:</w:t>
      </w:r>
    </w:p>
    <w:p>
      <w:pPr>
        <w:spacing w:before="60" w:after="120"/>
        <w:ind w:left="709" w:right="709" w:firstLine="0"/>
        <w:jc w:val="left"/>
      </w:pPr>
      <w:r>
        <w:rPr>
          <w:rFonts w:ascii="Aptos" w:hAnsi="Aptos"/>
          <w:b w:val="0"/>
          <w:i w:val="0"/>
          <w:sz w:val="22"/>
        </w:rPr>
        <w:t xml:space="preserve">El análisis del contenido de los medios de comunicación revela una representación consistente y predominante de cuerpos femeninos delgados como ideales de belleza y éxito, junto con una asociación sistemática entre delgadez y valores positivos como el control, la disciplina, la atracción y la felicidad. (Grabe, Ward y Hyde, 2008, p. 460)</w:t>
      </w:r>
    </w:p>
    <w:p>
      <w:pPr>
        <w:spacing w:before="0" w:after="120"/>
        <w:ind w:firstLine="709"/>
        <w:jc w:val="left"/>
      </w:pPr>
      <w:r>
        <w:rPr>
          <w:rFonts w:ascii="Aptos" w:hAnsi="Aptos"/>
          <w:b w:val="0"/>
          <w:i w:val="0"/>
          <w:sz w:val="24"/>
        </w:rPr>
        <w:t xml:space="preserve">El metaanálisis de Grabe, Ward y Hyde (2008), que reunió 77 estudios experimentales y correlacionales, mostró que la exposición a imágenes mediáticas de cuerpos ideales genera efectos significativos sobre la insatisfacción corporal, la internalización del ideal de delgadez y la sintomatología alimentaria en mujeres, con un impacto más marcado en la adolescencia. El tamaño del efecto para la insatisfacción corporal fue de d = 0,28: una magnitud pequeña, pero que se repite de forma consistente en una amplia variedad de metodologías y muestras.</w:t>
      </w:r>
    </w:p>
    <w:p>
      <w:pPr>
        <w:spacing w:before="0" w:after="120"/>
        <w:ind w:firstLine="709"/>
        <w:jc w:val="left"/>
      </w:pPr>
      <w:r>
        <w:rPr>
          <w:rFonts w:ascii="Aptos" w:hAnsi="Aptos"/>
          <w:b w:val="0"/>
          <w:i w:val="0"/>
          <w:sz w:val="24"/>
        </w:rPr>
        <w:t xml:space="preserve">La aparición y masificación de las redes sociales —Instagram, TikTok, Snapchat, entre otras— sumó dinámicas nuevas, y potencialmente más intensas, a la relación entre medios e imagen corporal. A diferencia de los medios tradicionales, las redes sociales habilitan la comparación social no solo con modelos profesionales sino también con pares, lo que puede aumentar la relevancia percibida y la identificación con esos estándares; incorporan mecanismos de retroalimentación social (“me gusta”, comentarios) que convierten las imágenes del propio cuerpo en objeto de evaluación pública permanente; facilitan el acceso a comunidades que promueven conductas alimentarias patológicas —los sitios “pro-ana” y “pro-mia”—; y exponen a las personas a contenido editado digitalmente, que distorsiona todavía más los estándares de referencia (Fardouly y Vartanian, 2015).</w:t>
      </w:r>
    </w:p>
    <w:p>
      <w:pPr>
        <w:spacing w:before="0" w:after="120"/>
        <w:ind w:firstLine="709"/>
        <w:jc w:val="left"/>
      </w:pPr>
      <w:r>
        <w:rPr>
          <w:rFonts w:ascii="Aptos" w:hAnsi="Aptos"/>
          <w:b w:val="0"/>
          <w:i w:val="0"/>
          <w:sz w:val="24"/>
        </w:rPr>
        <w:t xml:space="preserve">Los datos empíricos respaldan esta idea:</w:t>
      </w:r>
    </w:p>
    <w:p>
      <w:pPr>
        <w:spacing w:before="60" w:after="120"/>
        <w:ind w:left="709" w:right="709" w:firstLine="0"/>
        <w:jc w:val="left"/>
      </w:pPr>
      <w:r>
        <w:rPr>
          <w:rFonts w:ascii="Aptos" w:hAnsi="Aptos"/>
          <w:b w:val="0"/>
          <w:i w:val="0"/>
          <w:sz w:val="22"/>
        </w:rPr>
        <w:t xml:space="preserve">El uso de Instagram se asocia significativamente con mayor comparación social de apariencia, mayor internalización del ideal de delgadez y mayor insatisfacción corporal en mujeres jóvenes, incluso después de controlar el tiempo total de uso de medios digitales y las características individuales de las participantes. (Fardouly y Vartanian, 2015, p. 135)</w:t>
      </w:r>
    </w:p>
    <w:p>
      <w:pPr>
        <w:spacing w:before="0" w:after="120"/>
        <w:ind w:firstLine="709"/>
        <w:jc w:val="left"/>
      </w:pPr>
      <w:r>
        <w:rPr>
          <w:rFonts w:ascii="Aptos" w:hAnsi="Aptos"/>
          <w:b w:val="0"/>
          <w:i w:val="0"/>
          <w:sz w:val="24"/>
        </w:rPr>
        <w:t xml:space="preserve">El concepto de “cultura de la dieta” (diet culture) resulta útil para pensar el escenario mediático actual. Se trata de un sistema de creencias muy extendido que valora la delgadez por encima de la salud, equipara la moralidad con los hábitos alimentarios y el peso corporal, y presenta la restricción alimentaria casi como una virtud. Las redes sociales amplifican y sostienen esta cultura a través de contenidos sobre dietas, “clean eating”, fitness extremo y transformaciones corporales, normalizando conductas que, en sus formas más extremas, pueden constituir o precipitar un TCA (Rodgers et al., 2020).</w:t>
      </w:r>
    </w:p>
    <w:p>
      <w:pPr>
        <w:spacing w:before="200" w:after="80"/>
        <w:ind w:firstLine="0"/>
        <w:jc w:val="left"/>
      </w:pPr>
      <w:r>
        <w:rPr>
          <w:rFonts w:ascii="Aptos" w:hAnsi="Aptos"/>
          <w:b/>
          <w:i w:val="0"/>
          <w:sz w:val="24"/>
        </w:rPr>
        <w:t xml:space="preserve">Síntesis del Marco Teórico</w:t>
      </w:r>
    </w:p>
    <w:p>
      <w:pPr>
        <w:spacing w:before="0" w:after="120"/>
        <w:ind w:firstLine="709"/>
        <w:jc w:val="left"/>
      </w:pPr>
      <w:r>
        <w:rPr>
          <w:rFonts w:ascii="Aptos" w:hAnsi="Aptos"/>
          <w:b w:val="0"/>
          <w:i w:val="0"/>
          <w:sz w:val="24"/>
        </w:rPr>
        <w:t xml:space="preserve">En síntesis, podríamos concluir lo siguiente: se desarrollaron los conceptos y clasificaciones de los trastornos de la conducta alimentaria (TCA) según el DSM-5 y la CIE-11, con especial atención en la anorexia nerviosa y la bulimia nerviosa —sus criterios diagnósticos, subtipos y consecuencias médicas y psicológicas—; se analizó la adolescencia como etapa de especial vulnerabilidad a los TCA; se revisaron los modelos teóricos explicativos —biológico, psicológico, familiar y sociocultural—; y se conceptualizaron la imagen corporal, la insatisfacción corporal, la autoestima y el rol de los medios de comunicación y las redes sociales como factores de riesgo asociados a estos trastornos.</w:t>
      </w:r>
    </w:p>
    <w:p>
      <w:pPr>
        <w:spacing w:before="0" w:after="120"/>
        <w:ind w:firstLine="709"/>
        <w:jc w:val="left"/>
      </w:pPr>
      <w:r>
        <w:rPr>
          <w:rFonts w:ascii="Aptos" w:hAnsi="Aptos"/>
          <w:b w:val="0"/>
          <w:i w:val="0"/>
          <w:sz w:val="24"/>
        </w:rPr>
        <w:t xml:space="preserve">Consideramos que hubo aspectos teóricos sobre los cuales no se observa con suficiente desarrollo: los mecanismos neurobiológicos específicos que subyacen a los TCA, los modelos de tratamiento basados en evidencia —como la Terapia Cognitivo-Conductual Mejorada (TCC-E) o el Tratamiento Basado en la Familia (TBF)— y las perspectivas transculturales sobre los TCA.</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jc w:val="left"/>
    </w:pPr>
    <w:rPr>
      <w:rFonts w:ascii="Aptos" w:hAnsi="Ap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E44CB0A5CFB7F469794F3E2F62947AF" ma:contentTypeVersion="3" ma:contentTypeDescription="Crear nuevo documento." ma:contentTypeScope="" ma:versionID="cb1f72ee30e379c8d0b22f69d9fb039c">
  <xsd:schema xmlns:xsd="http://www.w3.org/2001/XMLSchema" xmlns:xs="http://www.w3.org/2001/XMLSchema" xmlns:p="http://schemas.microsoft.com/office/2006/metadata/properties" xmlns:ns2="737e9a22-5258-4949-813c-b0f17db3d986" targetNamespace="http://schemas.microsoft.com/office/2006/metadata/properties" ma:root="true" ma:fieldsID="b3ab1eff0b27783f94b6dbf622b78ed5" ns2:_="">
    <xsd:import namespace="737e9a22-5258-4949-813c-b0f17db3d98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7e9a22-5258-4949-813c-b0f17db3d9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6855BC4-A60C-4AC1-9649-AB77951ED84C}"/>
</file>

<file path=customXml/itemProps3.xml><?xml version="1.0" encoding="utf-8"?>
<ds:datastoreItem xmlns:ds="http://schemas.openxmlformats.org/officeDocument/2006/customXml" ds:itemID="{B1EE0F7B-9EFE-46C0-A925-60658453F0EE}"/>
</file>

<file path=customXml/itemProps4.xml><?xml version="1.0" encoding="utf-8"?>
<ds:datastoreItem xmlns:ds="http://schemas.openxmlformats.org/officeDocument/2006/customXml" ds:itemID="{4D53BB99-9716-4641-BD41-89FB7665D30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0x0101003E44CB0A5CFB7F469794F3E2F62947AF</vt:lpwstr>
  </property>
</Properties>
</file>