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4DE8" w:rsidRPr="00484DE8" w:rsidRDefault="00484DE8" w:rsidP="00484DE8">
      <w:pPr>
        <w:keepNext/>
        <w:spacing w:after="160" w:line="360" w:lineRule="auto"/>
        <w:ind w:right="709" w:firstLine="708"/>
        <w:jc w:val="both"/>
        <w:rPr>
          <w:b/>
          <w:bCs/>
          <w:sz w:val="26"/>
          <w:szCs w:val="26"/>
        </w:rPr>
      </w:pPr>
      <w:r>
        <w:rPr>
          <w:b/>
          <w:bCs/>
          <w:sz w:val="26"/>
          <w:szCs w:val="26"/>
        </w:rPr>
        <w:t>6. Metodología</w:t>
      </w:r>
    </w:p>
    <w:p w:rsidR="00484DE8" w:rsidRPr="00D63765" w:rsidRDefault="00484DE8" w:rsidP="00484DE8">
      <w:pPr>
        <w:spacing w:after="160" w:line="360" w:lineRule="auto"/>
        <w:ind w:left="709" w:right="709" w:firstLine="709"/>
        <w:jc w:val="both"/>
        <w:rPr>
          <w:sz w:val="24"/>
          <w:szCs w:val="24"/>
        </w:rPr>
      </w:pPr>
      <w:r>
        <w:rPr>
          <w:sz w:val="24"/>
          <w:szCs w:val="24"/>
        </w:rPr>
        <w:t>En torno a la metodología del presente trabajo de investigación, a continuación se desarrollan el tipo de estudio, los instrumentos seleccionados y el procedimiento utilizado. Las decisiones metodológicas se relacionan con los objetivos del TIF “La anorexia y la bulimia en la adolescencia” y con su interés por comprender la problemática en el contexto argentino.</w:t>
      </w:r>
    </w:p>
    <w:p w:rsidR="00484DE8" w:rsidRPr="00484DE8" w:rsidRDefault="00484DE8" w:rsidP="00484DE8">
      <w:pPr>
        <w:keepNext/>
        <w:spacing w:after="160" w:line="360" w:lineRule="auto"/>
        <w:ind w:right="709" w:firstLine="708"/>
        <w:jc w:val="both"/>
        <w:rPr>
          <w:b/>
          <w:bCs/>
          <w:sz w:val="26"/>
          <w:szCs w:val="26"/>
        </w:rPr>
      </w:pPr>
      <w:r>
        <w:rPr>
          <w:b/>
          <w:bCs/>
          <w:sz w:val="26"/>
          <w:szCs w:val="26"/>
        </w:rPr>
        <w:t>6.1. Tipo de estudio</w:t>
      </w:r>
    </w:p>
    <w:p w:rsidR="00484DE8" w:rsidRPr="00D63765" w:rsidRDefault="00484DE8" w:rsidP="00484DE8">
      <w:pPr>
        <w:spacing w:after="160" w:line="360" w:lineRule="auto"/>
        <w:ind w:left="709" w:right="709" w:firstLine="709"/>
        <w:jc w:val="both"/>
        <w:rPr>
          <w:sz w:val="24"/>
          <w:szCs w:val="24"/>
        </w:rPr>
      </w:pPr>
      <w:r>
        <w:rPr>
          <w:sz w:val="24"/>
          <w:szCs w:val="24"/>
        </w:rPr>
        <w:t>El estudio fue de recopilación bibliográfica, con un enfoque cualitativo y un alcance descriptivo. Se analizaron documentos existentes para comprender los factores familiares, sociales y psicológicos asociados a la anorexia y la bulimia, sus consecuencias físicas y psicológicas, y las estrategias de prevención e intervención. La unidad de análisis fue el contenido de las fuentes consultadas; no se trabajó directamente con una muestra de adolescentes.</w:t>
      </w:r>
    </w:p>
    <w:p w:rsidR="00484DE8" w:rsidRPr="00D63765" w:rsidRDefault="00484DE8" w:rsidP="00484DE8">
      <w:pPr>
        <w:spacing w:after="160" w:line="360" w:lineRule="auto"/>
        <w:ind w:left="709" w:right="709" w:firstLine="709"/>
        <w:jc w:val="both"/>
        <w:rPr>
          <w:sz w:val="24"/>
          <w:szCs w:val="24"/>
        </w:rPr>
      </w:pPr>
      <w:r>
        <w:rPr>
          <w:sz w:val="24"/>
          <w:szCs w:val="24"/>
        </w:rPr>
        <w:t>La recopilación se organizó como una revisión narrativa. No se la presenta como una revisión sistemática ni como un metaanálisis, porque no se aplicó un protocolo exhaustivo de búsqueda, selección y evaluación de todos los estudios disponibles. Se utilizaron resultados cuantitativos publicados por otros autores como información contextual, diferenciándolos de la interpretación cualitativa de sus aportes.</w:t>
      </w:r>
    </w:p>
    <w:p w:rsidR="00484DE8" w:rsidRPr="00D63765" w:rsidRDefault="00484DE8" w:rsidP="00484DE8">
      <w:pPr>
        <w:spacing w:after="160" w:line="360" w:lineRule="auto"/>
        <w:ind w:left="709" w:right="709" w:firstLine="709"/>
        <w:jc w:val="both"/>
        <w:rPr>
          <w:sz w:val="24"/>
          <w:szCs w:val="24"/>
        </w:rPr>
      </w:pPr>
      <w:r>
        <w:rPr>
          <w:sz w:val="24"/>
          <w:szCs w:val="24"/>
        </w:rPr>
        <w:t>La información sobre estos trastornos es abundante y se encuentra distribuida entre publicaciones de psicología, psiquiatría, pediatría y nutrición. Por ese motivo, se reunió un conjunto de fuentes que permite una mirada integral y, al mismo tiempo, delimitada por los objetivos de la investigación. Se priorizó la pertinencia de los documentos para estudiar adolescencia, vínculos familiares, imagen corporal, redes sociales y atención.</w:t>
      </w:r>
    </w:p>
    <w:p w:rsidR="00484DE8" w:rsidRPr="00D63765" w:rsidRDefault="00484DE8" w:rsidP="00484DE8">
      <w:pPr>
        <w:spacing w:after="160" w:line="360" w:lineRule="auto"/>
        <w:ind w:left="709" w:right="709" w:firstLine="709"/>
        <w:jc w:val="both"/>
        <w:rPr>
          <w:sz w:val="24"/>
          <w:szCs w:val="24"/>
        </w:rPr>
      </w:pPr>
      <w:r>
        <w:rPr>
          <w:sz w:val="24"/>
          <w:szCs w:val="24"/>
        </w:rPr>
        <w:t>El contexto argentino orientó el análisis, aunque se incorporaron antecedentes internacionales para complementar la información local. En cada caso se distinguió la procedencia de la población estudiada del país donde se publicó el artículo. Los resultados obtenidos fuera de Argentina no se consideraron automáticamente representativos de los adolescentes de nuestro país.</w:t>
      </w:r>
    </w:p>
    <w:p w:rsidR="00484DE8" w:rsidRPr="00484DE8" w:rsidRDefault="00484DE8" w:rsidP="00484DE8">
      <w:pPr>
        <w:keepNext/>
        <w:spacing w:after="160" w:line="360" w:lineRule="auto"/>
        <w:ind w:right="709" w:firstLine="708"/>
        <w:jc w:val="both"/>
        <w:rPr>
          <w:b/>
          <w:bCs/>
          <w:sz w:val="26"/>
          <w:szCs w:val="26"/>
        </w:rPr>
      </w:pPr>
      <w:r>
        <w:rPr>
          <w:b/>
          <w:bCs/>
          <w:sz w:val="26"/>
          <w:szCs w:val="26"/>
        </w:rPr>
        <w:t>6.2. Instrumentos</w:t>
      </w:r>
    </w:p>
    <w:p w:rsidR="00484DE8" w:rsidRPr="00D63765" w:rsidRDefault="00484DE8" w:rsidP="00484DE8">
      <w:pPr>
        <w:spacing w:after="160" w:line="360" w:lineRule="auto"/>
        <w:ind w:left="709" w:right="709" w:firstLine="709"/>
        <w:jc w:val="both"/>
        <w:rPr>
          <w:sz w:val="24"/>
          <w:szCs w:val="24"/>
        </w:rPr>
      </w:pPr>
      <w:r>
        <w:rPr>
          <w:sz w:val="24"/>
          <w:szCs w:val="24"/>
        </w:rPr>
        <w:t>Se utilizaron técnicas de investigación bibliográfica destinadas a localizar, seleccionar, organizar y analizar información. Las herramientas concretas fueron la consulta documental, la lectura analítica y el registro de los datos bibliográficos y de los contenidos relevantes. Los documentos proporcionados para el TIF y las publicaciones científicas consultadas en línea constituyeron los materiales de estudio.</w:t>
      </w:r>
    </w:p>
    <w:p w:rsidR="00484DE8" w:rsidRPr="00D63765" w:rsidRDefault="00484DE8" w:rsidP="00484DE8">
      <w:pPr>
        <w:spacing w:after="160" w:line="360" w:lineRule="auto"/>
        <w:ind w:left="709" w:right="709" w:firstLine="709"/>
        <w:jc w:val="both"/>
        <w:rPr>
          <w:sz w:val="24"/>
          <w:szCs w:val="24"/>
        </w:rPr>
      </w:pPr>
      <w:r>
        <w:rPr>
          <w:sz w:val="24"/>
          <w:szCs w:val="24"/>
        </w:rPr>
        <w:t>Se distinguieron fuentes primarias, como el estudio de entrevistas de López et al. (2024) y el estudio transversal de Dahlgren et al. (2024), de fuentes secundarias, como la revisión de López-Trujillo et al. (2026) y el trabajo bibliográfico de Camino de Menchaca (2021). Los textos metodológicos y las orientaciones de la asignatura se utilizaron para organizar la investigación, no como evidencia clínica sobre los trastornos.</w:t>
      </w:r>
    </w:p>
    <w:p w:rsidR="00484DE8" w:rsidRPr="00D63765" w:rsidRDefault="00484DE8" w:rsidP="00484DE8">
      <w:pPr>
        <w:spacing w:after="160" w:line="360" w:lineRule="auto"/>
        <w:ind w:left="709" w:right="709" w:firstLine="709"/>
        <w:jc w:val="both"/>
        <w:rPr>
          <w:sz w:val="24"/>
          <w:szCs w:val="24"/>
        </w:rPr>
      </w:pPr>
      <w:r>
        <w:rPr>
          <w:sz w:val="24"/>
          <w:szCs w:val="24"/>
        </w:rPr>
        <w:t>Para ordenar la lectura se tomaron como datos de registro el autor, año, título, procedencia, objetivo, tipo de estudio, población cuando correspondía, hallazgos, limitaciones y relación con los objetivos del TIF. El análisis se distribuyó en cuatro categorías: factores asociados; consecuencias físicas y psicológicas; imagen corporal y entorno social; y prevención, intervención y recuperación. Estas categorías permitieron comparar documentos sin confundir los resultados de una investigación original con los de una revisión.</w:t>
      </w:r>
    </w:p>
    <w:p w:rsidR="00484DE8" w:rsidRPr="00D63765" w:rsidRDefault="00484DE8" w:rsidP="00484DE8">
      <w:pPr>
        <w:spacing w:after="160" w:line="360" w:lineRule="auto"/>
        <w:ind w:left="709" w:right="709" w:firstLine="709"/>
        <w:jc w:val="both"/>
        <w:rPr>
          <w:sz w:val="24"/>
          <w:szCs w:val="24"/>
        </w:rPr>
      </w:pPr>
      <w:r>
        <w:rPr>
          <w:sz w:val="24"/>
          <w:szCs w:val="24"/>
        </w:rPr>
        <w:t>No se administraron cuestionarios, escalas diagnósticas ni entrevistas propias. Cuando se describen instrumentos empleados por los autores de los antecedentes, se los identifica como parte de sus investigaciones. Las citas y paráfrasis se acompañan de referencias para diferenciar el conocimiento publicado de nuestra interpretación.</w:t>
      </w:r>
    </w:p>
    <w:p w:rsidR="00484DE8" w:rsidRPr="00484DE8" w:rsidRDefault="00484DE8" w:rsidP="00484DE8">
      <w:pPr>
        <w:keepNext/>
        <w:spacing w:after="160" w:line="360" w:lineRule="auto"/>
        <w:ind w:right="709" w:firstLine="708"/>
        <w:jc w:val="both"/>
        <w:rPr>
          <w:b/>
          <w:bCs/>
          <w:sz w:val="26"/>
          <w:szCs w:val="26"/>
        </w:rPr>
      </w:pPr>
      <w:r>
        <w:rPr>
          <w:b/>
          <w:bCs/>
          <w:sz w:val="26"/>
          <w:szCs w:val="26"/>
        </w:rPr>
        <w:t>6.3. Procedimiento</w:t>
      </w:r>
    </w:p>
    <w:p w:rsidR="00484DE8" w:rsidRPr="00D63765" w:rsidRDefault="00484DE8" w:rsidP="00484DE8">
      <w:pPr>
        <w:spacing w:after="160" w:line="360" w:lineRule="auto"/>
        <w:ind w:left="709" w:right="709" w:firstLine="709"/>
        <w:jc w:val="both"/>
        <w:rPr>
          <w:sz w:val="24"/>
          <w:szCs w:val="24"/>
        </w:rPr>
      </w:pPr>
      <w:r>
        <w:rPr>
          <w:sz w:val="24"/>
          <w:szCs w:val="24"/>
        </w:rPr>
        <w:t>El procedimiento se desarrolló mediante las siguientes etapas, siguiendo la orientación de la consigna y manteniendo la relación entre preguntas, objetivos y fuentes:</w:t>
      </w:r>
    </w:p>
    <w:p w:rsidR="00484DE8" w:rsidRPr="00D63765" w:rsidRDefault="00484DE8" w:rsidP="00484DE8">
      <w:pPr>
        <w:spacing w:after="160" w:line="360" w:lineRule="auto"/>
        <w:ind w:left="709" w:right="709" w:firstLine="709"/>
        <w:jc w:val="both"/>
        <w:rPr>
          <w:sz w:val="24"/>
          <w:szCs w:val="24"/>
        </w:rPr>
      </w:pPr>
      <w:r>
        <w:rPr>
          <w:sz w:val="24"/>
          <w:szCs w:val="24"/>
        </w:rPr>
        <w:t>1. Búsqueda de información. Se partió del material suministrado y de los antecedentes presentes en el estado del arte. Se localizaron publicaciones mediante búsquedas en línea con combinaciones de términos como “anorexia nerviosa”, “bulimia nerviosa”, “adolescentes”, “Argentina”, “funcionamiento familiar”, “imagen corporal” y “redes sociales”. Se accedió a las versiones de las revistas científicas y a registros bibliográficos para verificar autoría, año y datos de publicación.</w:t>
      </w:r>
    </w:p>
    <w:p w:rsidR="00484DE8" w:rsidRPr="00D63765" w:rsidRDefault="00484DE8" w:rsidP="00484DE8">
      <w:pPr>
        <w:spacing w:after="160" w:line="360" w:lineRule="auto"/>
        <w:ind w:left="709" w:right="709" w:firstLine="709"/>
        <w:jc w:val="both"/>
        <w:rPr>
          <w:sz w:val="24"/>
          <w:szCs w:val="24"/>
        </w:rPr>
      </w:pPr>
      <w:r>
        <w:rPr>
          <w:sz w:val="24"/>
          <w:szCs w:val="24"/>
        </w:rPr>
        <w:t>2. Selección de información. Se incluyeron documentos con autoría identificable, relación con los objetivos y descripción suficiente de su método o fundamento. Para el estado actual del conocimiento se seleccionaron antecedentes de 2021, 2024 y 2026; los textos metodológicos se conservaron por su utilidad para organizar el estudio. Se dejaron fuera afirmaciones sin respaldo verificable, materiales exclusivamente publicitarios y contenidos que presentan conductas alimentarias perjudiciales como recomendaciones.</w:t>
      </w:r>
    </w:p>
    <w:p w:rsidR="00484DE8" w:rsidRPr="00D63765" w:rsidRDefault="00484DE8" w:rsidP="00484DE8">
      <w:pPr>
        <w:spacing w:after="160" w:line="360" w:lineRule="auto"/>
        <w:ind w:left="709" w:right="709" w:firstLine="709"/>
        <w:jc w:val="both"/>
        <w:rPr>
          <w:sz w:val="24"/>
          <w:szCs w:val="24"/>
        </w:rPr>
      </w:pPr>
      <w:r>
        <w:rPr>
          <w:sz w:val="24"/>
          <w:szCs w:val="24"/>
        </w:rPr>
        <w:t>3. Análisis de las fuentes. Se compararon los objetivos, métodos, resultados y limitaciones de los documentos. Se identificó si cada dato correspondía a una muestra clínica, una población escolar o una revisión de estudios. Se diferenció la asociación estadística de una explicación causal y se evitó utilizar porcentajes de una muestra específica como si fueran cifras nacionales. También se examinó qué aportaba cada antecedente a los objetivos del planteamiento aprobado.</w:t>
      </w:r>
    </w:p>
    <w:p w:rsidR="00484DE8" w:rsidRPr="00D63765" w:rsidRDefault="00484DE8" w:rsidP="00484DE8">
      <w:pPr>
        <w:spacing w:after="160" w:line="360" w:lineRule="auto"/>
        <w:ind w:left="709" w:right="709" w:firstLine="709"/>
        <w:jc w:val="both"/>
        <w:rPr>
          <w:sz w:val="24"/>
          <w:szCs w:val="24"/>
        </w:rPr>
      </w:pPr>
      <w:r>
        <w:rPr>
          <w:sz w:val="24"/>
          <w:szCs w:val="24"/>
        </w:rPr>
        <w:t>4. Redacción del trabajo. La información seleccionada se organizó por categorías temáticas y se integró con el marco teórico. Se elaboraron síntesis mediante paráfrasis y referencias bibliográficas, y se explicitaron las diferencias entre contextos y diseños. El estado actual del conocimiento se redactó como una comparación de antecedentes y no únicamente como una enumeración de definiciones.</w:t>
      </w:r>
    </w:p>
    <w:p w:rsidR="00484DE8" w:rsidRPr="00D63765" w:rsidRDefault="00484DE8" w:rsidP="00484DE8">
      <w:pPr>
        <w:spacing w:after="160" w:line="360" w:lineRule="auto"/>
        <w:ind w:left="709" w:right="709" w:firstLine="709"/>
        <w:jc w:val="both"/>
        <w:rPr>
          <w:sz w:val="24"/>
          <w:szCs w:val="24"/>
        </w:rPr>
      </w:pPr>
      <w:r>
        <w:rPr>
          <w:sz w:val="24"/>
          <w:szCs w:val="24"/>
        </w:rPr>
        <w:t>5. Presentación final. La versión escrita se organiza en los apartados establecidos por la asignatura. La revisión de estos capítulos incluyó la coherencia entre los objetivos, las fuentes utilizadas y las decisiones metodológicas, así como el cuidado de la redacción y del formato. La integración y entrega del TIF completo corresponde a la etapa final del proyecto.</w:t>
      </w:r>
    </w:p>
    <w:p w:rsidR="00484DE8" w:rsidRPr="00D63765" w:rsidRDefault="00484DE8" w:rsidP="00484DE8">
      <w:pPr>
        <w:spacing w:after="160" w:line="360" w:lineRule="auto"/>
        <w:ind w:left="709" w:right="709" w:firstLine="709"/>
        <w:jc w:val="both"/>
        <w:rPr>
          <w:sz w:val="24"/>
          <w:szCs w:val="24"/>
        </w:rPr>
      </w:pPr>
      <w:r>
        <w:rPr>
          <w:sz w:val="24"/>
          <w:szCs w:val="24"/>
        </w:rPr>
        <w:t>El alcance de esta metodología es documental. La selección narrativa de fuentes y la diversidad de sus poblaciones limitan la generalización de los resultados. El trabajo permite integrar conocimientos y formular reflexiones fundamentadas, pero no medir la prevalencia nacional, establecer nuevos diagnósticos ni comprobar por sí mismo la eficacia de tratamientos en adolescentes argentinos.</w:t>
      </w:r>
    </w:p>
    <w:sectPr w:rsidR="00E5676C" w:rsidRPr="00A45C75" w:rsidSect="000B5EE0">
      <w:pgSz w:w="11906" w:h="16838"/>
      <w:pgMar w:top="1134" w:right="1134" w:bottom="1134" w:left="1134" w:header="708" w:footer="708" w:gutter="0"/>
      <w:pgBorders w:offsetFrom="page">
        <w:top w:val="threeDEngrave" w:sz="24" w:space="24" w:color="auto"/>
        <w:left w:val="threeDEngrave" w:sz="24" w:space="24" w:color="auto"/>
        <w:bottom w:val="threeDEmboss" w:sz="24" w:space="24" w:color="auto"/>
        <w:right w:val="threeDEmboss"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383F33"/>
    <w:multiLevelType w:val="hybridMultilevel"/>
    <w:tmpl w:val="745C6D80"/>
    <w:lvl w:ilvl="0" w:tplc="2C6696CE">
      <w:start w:val="1"/>
      <w:numFmt w:val="bullet"/>
      <w:lvlText w:val="•"/>
      <w:lvlJc w:val="left"/>
      <w:pPr>
        <w:ind w:left="720" w:hanging="360"/>
      </w:pPr>
    </w:lvl>
    <w:lvl w:ilvl="1" w:tplc="EB745CD4">
      <w:numFmt w:val="decimal"/>
      <w:lvlText w:val=""/>
      <w:lvlJc w:val="left"/>
    </w:lvl>
    <w:lvl w:ilvl="2" w:tplc="87C41444">
      <w:numFmt w:val="decimal"/>
      <w:lvlText w:val=""/>
      <w:lvlJc w:val="left"/>
    </w:lvl>
    <w:lvl w:ilvl="3" w:tplc="C3563C1A">
      <w:numFmt w:val="decimal"/>
      <w:lvlText w:val=""/>
      <w:lvlJc w:val="left"/>
    </w:lvl>
    <w:lvl w:ilvl="4" w:tplc="FD462482">
      <w:numFmt w:val="decimal"/>
      <w:lvlText w:val=""/>
      <w:lvlJc w:val="left"/>
    </w:lvl>
    <w:lvl w:ilvl="5" w:tplc="DD2ED718">
      <w:numFmt w:val="decimal"/>
      <w:lvlText w:val=""/>
      <w:lvlJc w:val="left"/>
    </w:lvl>
    <w:lvl w:ilvl="6" w:tplc="3AD0CA50">
      <w:numFmt w:val="decimal"/>
      <w:lvlText w:val=""/>
      <w:lvlJc w:val="left"/>
    </w:lvl>
    <w:lvl w:ilvl="7" w:tplc="F69ED3C0">
      <w:numFmt w:val="decimal"/>
      <w:lvlText w:val=""/>
      <w:lvlJc w:val="left"/>
    </w:lvl>
    <w:lvl w:ilvl="8" w:tplc="0CE4FDC6">
      <w:numFmt w:val="decimal"/>
      <w:lvlText w:val=""/>
      <w:lvlJc w:val="left"/>
    </w:lvl>
  </w:abstractNum>
  <w:abstractNum w:abstractNumId="1" w15:restartNumberingAfterBreak="0">
    <w:nsid w:val="0DA5274B"/>
    <w:multiLevelType w:val="hybridMultilevel"/>
    <w:tmpl w:val="44C6E7E8"/>
    <w:lvl w:ilvl="0" w:tplc="2C0A0001">
      <w:start w:val="1"/>
      <w:numFmt w:val="bullet"/>
      <w:lvlText w:val=""/>
      <w:lvlJc w:val="left"/>
      <w:pPr>
        <w:ind w:left="5735" w:hanging="360"/>
      </w:pPr>
      <w:rPr>
        <w:rFonts w:ascii="Symbol" w:hAnsi="Symbol" w:hint="default"/>
      </w:rPr>
    </w:lvl>
    <w:lvl w:ilvl="1" w:tplc="2C0A0003">
      <w:start w:val="1"/>
      <w:numFmt w:val="bullet"/>
      <w:lvlText w:val="o"/>
      <w:lvlJc w:val="left"/>
      <w:pPr>
        <w:ind w:left="6455" w:hanging="360"/>
      </w:pPr>
      <w:rPr>
        <w:rFonts w:ascii="Courier New" w:hAnsi="Courier New" w:cs="Courier New" w:hint="default"/>
      </w:rPr>
    </w:lvl>
    <w:lvl w:ilvl="2" w:tplc="2C0A0005">
      <w:start w:val="1"/>
      <w:numFmt w:val="bullet"/>
      <w:lvlText w:val=""/>
      <w:lvlJc w:val="left"/>
      <w:pPr>
        <w:ind w:left="7175" w:hanging="360"/>
      </w:pPr>
      <w:rPr>
        <w:rFonts w:ascii="Wingdings" w:hAnsi="Wingdings" w:hint="default"/>
      </w:rPr>
    </w:lvl>
    <w:lvl w:ilvl="3" w:tplc="2C0A0001" w:tentative="1">
      <w:start w:val="1"/>
      <w:numFmt w:val="bullet"/>
      <w:lvlText w:val=""/>
      <w:lvlJc w:val="left"/>
      <w:pPr>
        <w:ind w:left="7895" w:hanging="360"/>
      </w:pPr>
      <w:rPr>
        <w:rFonts w:ascii="Symbol" w:hAnsi="Symbol" w:hint="default"/>
      </w:rPr>
    </w:lvl>
    <w:lvl w:ilvl="4" w:tplc="2C0A0003" w:tentative="1">
      <w:start w:val="1"/>
      <w:numFmt w:val="bullet"/>
      <w:lvlText w:val="o"/>
      <w:lvlJc w:val="left"/>
      <w:pPr>
        <w:ind w:left="8615" w:hanging="360"/>
      </w:pPr>
      <w:rPr>
        <w:rFonts w:ascii="Courier New" w:hAnsi="Courier New" w:cs="Courier New" w:hint="default"/>
      </w:rPr>
    </w:lvl>
    <w:lvl w:ilvl="5" w:tplc="2C0A0005" w:tentative="1">
      <w:start w:val="1"/>
      <w:numFmt w:val="bullet"/>
      <w:lvlText w:val=""/>
      <w:lvlJc w:val="left"/>
      <w:pPr>
        <w:ind w:left="9335" w:hanging="360"/>
      </w:pPr>
      <w:rPr>
        <w:rFonts w:ascii="Wingdings" w:hAnsi="Wingdings" w:hint="default"/>
      </w:rPr>
    </w:lvl>
    <w:lvl w:ilvl="6" w:tplc="2C0A0001" w:tentative="1">
      <w:start w:val="1"/>
      <w:numFmt w:val="bullet"/>
      <w:lvlText w:val=""/>
      <w:lvlJc w:val="left"/>
      <w:pPr>
        <w:ind w:left="10055" w:hanging="360"/>
      </w:pPr>
      <w:rPr>
        <w:rFonts w:ascii="Symbol" w:hAnsi="Symbol" w:hint="default"/>
      </w:rPr>
    </w:lvl>
    <w:lvl w:ilvl="7" w:tplc="2C0A0003" w:tentative="1">
      <w:start w:val="1"/>
      <w:numFmt w:val="bullet"/>
      <w:lvlText w:val="o"/>
      <w:lvlJc w:val="left"/>
      <w:pPr>
        <w:ind w:left="10775" w:hanging="360"/>
      </w:pPr>
      <w:rPr>
        <w:rFonts w:ascii="Courier New" w:hAnsi="Courier New" w:cs="Courier New" w:hint="default"/>
      </w:rPr>
    </w:lvl>
    <w:lvl w:ilvl="8" w:tplc="2C0A0005" w:tentative="1">
      <w:start w:val="1"/>
      <w:numFmt w:val="bullet"/>
      <w:lvlText w:val=""/>
      <w:lvlJc w:val="left"/>
      <w:pPr>
        <w:ind w:left="11495" w:hanging="360"/>
      </w:pPr>
      <w:rPr>
        <w:rFonts w:ascii="Wingdings" w:hAnsi="Wingdings" w:hint="default"/>
      </w:rPr>
    </w:lvl>
  </w:abstractNum>
  <w:abstractNum w:abstractNumId="2" w15:restartNumberingAfterBreak="0">
    <w:nsid w:val="104F649E"/>
    <w:multiLevelType w:val="hybridMultilevel"/>
    <w:tmpl w:val="B42EC06E"/>
    <w:lvl w:ilvl="0" w:tplc="AFDC3AD8">
      <w:start w:val="1"/>
      <w:numFmt w:val="bullet"/>
      <w:lvlText w:val="●"/>
      <w:lvlJc w:val="left"/>
      <w:pPr>
        <w:ind w:left="720" w:hanging="360"/>
      </w:pPr>
    </w:lvl>
    <w:lvl w:ilvl="1" w:tplc="E9A6277E">
      <w:start w:val="1"/>
      <w:numFmt w:val="bullet"/>
      <w:lvlText w:val="○"/>
      <w:lvlJc w:val="left"/>
      <w:pPr>
        <w:ind w:left="1440" w:hanging="360"/>
      </w:pPr>
    </w:lvl>
    <w:lvl w:ilvl="2" w:tplc="4F329C40">
      <w:start w:val="1"/>
      <w:numFmt w:val="bullet"/>
      <w:lvlText w:val="■"/>
      <w:lvlJc w:val="left"/>
      <w:pPr>
        <w:ind w:left="2160" w:hanging="360"/>
      </w:pPr>
    </w:lvl>
    <w:lvl w:ilvl="3" w:tplc="EE6EBA1C">
      <w:start w:val="1"/>
      <w:numFmt w:val="bullet"/>
      <w:lvlText w:val="●"/>
      <w:lvlJc w:val="left"/>
      <w:pPr>
        <w:ind w:left="2880" w:hanging="360"/>
      </w:pPr>
    </w:lvl>
    <w:lvl w:ilvl="4" w:tplc="5EE4D12E">
      <w:start w:val="1"/>
      <w:numFmt w:val="bullet"/>
      <w:lvlText w:val="○"/>
      <w:lvlJc w:val="left"/>
      <w:pPr>
        <w:ind w:left="3600" w:hanging="360"/>
      </w:pPr>
    </w:lvl>
    <w:lvl w:ilvl="5" w:tplc="6F4ACA38">
      <w:start w:val="1"/>
      <w:numFmt w:val="bullet"/>
      <w:lvlText w:val="■"/>
      <w:lvlJc w:val="left"/>
      <w:pPr>
        <w:ind w:left="4320" w:hanging="360"/>
      </w:pPr>
    </w:lvl>
    <w:lvl w:ilvl="6" w:tplc="51326286">
      <w:start w:val="1"/>
      <w:numFmt w:val="bullet"/>
      <w:lvlText w:val="●"/>
      <w:lvlJc w:val="left"/>
      <w:pPr>
        <w:ind w:left="5040" w:hanging="360"/>
      </w:pPr>
    </w:lvl>
    <w:lvl w:ilvl="7" w:tplc="0ECAE254">
      <w:start w:val="1"/>
      <w:numFmt w:val="bullet"/>
      <w:lvlText w:val="●"/>
      <w:lvlJc w:val="left"/>
      <w:pPr>
        <w:ind w:left="5760" w:hanging="360"/>
      </w:pPr>
    </w:lvl>
    <w:lvl w:ilvl="8" w:tplc="75DE552E">
      <w:start w:val="1"/>
      <w:numFmt w:val="bullet"/>
      <w:lvlText w:val="●"/>
      <w:lvlJc w:val="left"/>
      <w:pPr>
        <w:ind w:left="6480" w:hanging="360"/>
      </w:pPr>
    </w:lvl>
  </w:abstractNum>
  <w:abstractNum w:abstractNumId="3" w15:restartNumberingAfterBreak="0">
    <w:nsid w:val="1BB6439A"/>
    <w:multiLevelType w:val="hybridMultilevel"/>
    <w:tmpl w:val="5D142B68"/>
    <w:lvl w:ilvl="0" w:tplc="2C0A0001">
      <w:start w:val="1"/>
      <w:numFmt w:val="bullet"/>
      <w:lvlText w:val=""/>
      <w:lvlJc w:val="left"/>
      <w:pPr>
        <w:ind w:left="142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4" w15:restartNumberingAfterBreak="0">
    <w:nsid w:val="2DE61165"/>
    <w:multiLevelType w:val="hybridMultilevel"/>
    <w:tmpl w:val="1F124C88"/>
    <w:lvl w:ilvl="0" w:tplc="87BEF5C6">
      <w:start w:val="1"/>
      <w:numFmt w:val="bullet"/>
      <w:lvlText w:val="-"/>
      <w:lvlJc w:val="left"/>
      <w:pPr>
        <w:ind w:left="2829" w:hanging="708"/>
      </w:pPr>
    </w:lvl>
    <w:lvl w:ilvl="1" w:tplc="668ED304">
      <w:numFmt w:val="decimal"/>
      <w:lvlText w:val=""/>
      <w:lvlJc w:val="left"/>
    </w:lvl>
    <w:lvl w:ilvl="2" w:tplc="FCF6FF84">
      <w:numFmt w:val="decimal"/>
      <w:lvlText w:val=""/>
      <w:lvlJc w:val="left"/>
    </w:lvl>
    <w:lvl w:ilvl="3" w:tplc="F1E446C8">
      <w:numFmt w:val="decimal"/>
      <w:lvlText w:val=""/>
      <w:lvlJc w:val="left"/>
    </w:lvl>
    <w:lvl w:ilvl="4" w:tplc="E8C22300">
      <w:numFmt w:val="decimal"/>
      <w:lvlText w:val=""/>
      <w:lvlJc w:val="left"/>
    </w:lvl>
    <w:lvl w:ilvl="5" w:tplc="4074259E">
      <w:numFmt w:val="decimal"/>
      <w:lvlText w:val=""/>
      <w:lvlJc w:val="left"/>
    </w:lvl>
    <w:lvl w:ilvl="6" w:tplc="6602BDCE">
      <w:numFmt w:val="decimal"/>
      <w:lvlText w:val=""/>
      <w:lvlJc w:val="left"/>
    </w:lvl>
    <w:lvl w:ilvl="7" w:tplc="28FE1CF8">
      <w:numFmt w:val="decimal"/>
      <w:lvlText w:val=""/>
      <w:lvlJc w:val="left"/>
    </w:lvl>
    <w:lvl w:ilvl="8" w:tplc="DB48FE2C">
      <w:numFmt w:val="decimal"/>
      <w:lvlText w:val=""/>
      <w:lvlJc w:val="left"/>
    </w:lvl>
  </w:abstractNum>
  <w:abstractNum w:abstractNumId="5" w15:restartNumberingAfterBreak="0">
    <w:nsid w:val="31C74A75"/>
    <w:multiLevelType w:val="hybridMultilevel"/>
    <w:tmpl w:val="53B6E642"/>
    <w:lvl w:ilvl="0" w:tplc="87BEF5C6">
      <w:start w:val="1"/>
      <w:numFmt w:val="bullet"/>
      <w:lvlText w:val="-"/>
      <w:lvlJc w:val="left"/>
      <w:pPr>
        <w:ind w:left="720" w:hanging="360"/>
      </w:pPr>
    </w:lvl>
    <w:lvl w:ilvl="1" w:tplc="EB745CD4">
      <w:numFmt w:val="decimal"/>
      <w:lvlText w:val=""/>
      <w:lvlJc w:val="left"/>
    </w:lvl>
    <w:lvl w:ilvl="2" w:tplc="87C41444">
      <w:numFmt w:val="decimal"/>
      <w:lvlText w:val=""/>
      <w:lvlJc w:val="left"/>
    </w:lvl>
    <w:lvl w:ilvl="3" w:tplc="C3563C1A">
      <w:numFmt w:val="decimal"/>
      <w:lvlText w:val=""/>
      <w:lvlJc w:val="left"/>
    </w:lvl>
    <w:lvl w:ilvl="4" w:tplc="FD462482">
      <w:numFmt w:val="decimal"/>
      <w:lvlText w:val=""/>
      <w:lvlJc w:val="left"/>
    </w:lvl>
    <w:lvl w:ilvl="5" w:tplc="DD2ED718">
      <w:numFmt w:val="decimal"/>
      <w:lvlText w:val=""/>
      <w:lvlJc w:val="left"/>
    </w:lvl>
    <w:lvl w:ilvl="6" w:tplc="3AD0CA50">
      <w:numFmt w:val="decimal"/>
      <w:lvlText w:val=""/>
      <w:lvlJc w:val="left"/>
    </w:lvl>
    <w:lvl w:ilvl="7" w:tplc="F69ED3C0">
      <w:numFmt w:val="decimal"/>
      <w:lvlText w:val=""/>
      <w:lvlJc w:val="left"/>
    </w:lvl>
    <w:lvl w:ilvl="8" w:tplc="0CE4FDC6">
      <w:numFmt w:val="decimal"/>
      <w:lvlText w:val=""/>
      <w:lvlJc w:val="left"/>
    </w:lvl>
  </w:abstractNum>
  <w:abstractNum w:abstractNumId="6" w15:restartNumberingAfterBreak="0">
    <w:nsid w:val="3AE075C7"/>
    <w:multiLevelType w:val="hybridMultilevel"/>
    <w:tmpl w:val="49803B0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3F876954"/>
    <w:multiLevelType w:val="hybridMultilevel"/>
    <w:tmpl w:val="2578B152"/>
    <w:lvl w:ilvl="0" w:tplc="2C0A0001">
      <w:start w:val="1"/>
      <w:numFmt w:val="bullet"/>
      <w:lvlText w:val=""/>
      <w:lvlJc w:val="left"/>
      <w:pPr>
        <w:ind w:left="5735" w:hanging="360"/>
      </w:pPr>
      <w:rPr>
        <w:rFonts w:ascii="Symbol" w:hAnsi="Symbol" w:hint="default"/>
      </w:rPr>
    </w:lvl>
    <w:lvl w:ilvl="1" w:tplc="2C0A0003" w:tentative="1">
      <w:start w:val="1"/>
      <w:numFmt w:val="bullet"/>
      <w:lvlText w:val="o"/>
      <w:lvlJc w:val="left"/>
      <w:pPr>
        <w:ind w:left="6455" w:hanging="360"/>
      </w:pPr>
      <w:rPr>
        <w:rFonts w:ascii="Courier New" w:hAnsi="Courier New" w:cs="Courier New" w:hint="default"/>
      </w:rPr>
    </w:lvl>
    <w:lvl w:ilvl="2" w:tplc="2C0A0005" w:tentative="1">
      <w:start w:val="1"/>
      <w:numFmt w:val="bullet"/>
      <w:lvlText w:val=""/>
      <w:lvlJc w:val="left"/>
      <w:pPr>
        <w:ind w:left="7175" w:hanging="360"/>
      </w:pPr>
      <w:rPr>
        <w:rFonts w:ascii="Wingdings" w:hAnsi="Wingdings" w:hint="default"/>
      </w:rPr>
    </w:lvl>
    <w:lvl w:ilvl="3" w:tplc="2C0A0001" w:tentative="1">
      <w:start w:val="1"/>
      <w:numFmt w:val="bullet"/>
      <w:lvlText w:val=""/>
      <w:lvlJc w:val="left"/>
      <w:pPr>
        <w:ind w:left="7895" w:hanging="360"/>
      </w:pPr>
      <w:rPr>
        <w:rFonts w:ascii="Symbol" w:hAnsi="Symbol" w:hint="default"/>
      </w:rPr>
    </w:lvl>
    <w:lvl w:ilvl="4" w:tplc="2C0A0003" w:tentative="1">
      <w:start w:val="1"/>
      <w:numFmt w:val="bullet"/>
      <w:lvlText w:val="o"/>
      <w:lvlJc w:val="left"/>
      <w:pPr>
        <w:ind w:left="8615" w:hanging="360"/>
      </w:pPr>
      <w:rPr>
        <w:rFonts w:ascii="Courier New" w:hAnsi="Courier New" w:cs="Courier New" w:hint="default"/>
      </w:rPr>
    </w:lvl>
    <w:lvl w:ilvl="5" w:tplc="2C0A0005" w:tentative="1">
      <w:start w:val="1"/>
      <w:numFmt w:val="bullet"/>
      <w:lvlText w:val=""/>
      <w:lvlJc w:val="left"/>
      <w:pPr>
        <w:ind w:left="9335" w:hanging="360"/>
      </w:pPr>
      <w:rPr>
        <w:rFonts w:ascii="Wingdings" w:hAnsi="Wingdings" w:hint="default"/>
      </w:rPr>
    </w:lvl>
    <w:lvl w:ilvl="6" w:tplc="2C0A0001" w:tentative="1">
      <w:start w:val="1"/>
      <w:numFmt w:val="bullet"/>
      <w:lvlText w:val=""/>
      <w:lvlJc w:val="left"/>
      <w:pPr>
        <w:ind w:left="10055" w:hanging="360"/>
      </w:pPr>
      <w:rPr>
        <w:rFonts w:ascii="Symbol" w:hAnsi="Symbol" w:hint="default"/>
      </w:rPr>
    </w:lvl>
    <w:lvl w:ilvl="7" w:tplc="2C0A0003" w:tentative="1">
      <w:start w:val="1"/>
      <w:numFmt w:val="bullet"/>
      <w:lvlText w:val="o"/>
      <w:lvlJc w:val="left"/>
      <w:pPr>
        <w:ind w:left="10775" w:hanging="360"/>
      </w:pPr>
      <w:rPr>
        <w:rFonts w:ascii="Courier New" w:hAnsi="Courier New" w:cs="Courier New" w:hint="default"/>
      </w:rPr>
    </w:lvl>
    <w:lvl w:ilvl="8" w:tplc="2C0A0005" w:tentative="1">
      <w:start w:val="1"/>
      <w:numFmt w:val="bullet"/>
      <w:lvlText w:val=""/>
      <w:lvlJc w:val="left"/>
      <w:pPr>
        <w:ind w:left="11495" w:hanging="360"/>
      </w:pPr>
      <w:rPr>
        <w:rFonts w:ascii="Wingdings" w:hAnsi="Wingdings" w:hint="default"/>
      </w:rPr>
    </w:lvl>
  </w:abstractNum>
  <w:abstractNum w:abstractNumId="8" w15:restartNumberingAfterBreak="0">
    <w:nsid w:val="40984757"/>
    <w:multiLevelType w:val="hybridMultilevel"/>
    <w:tmpl w:val="0D1072B0"/>
    <w:lvl w:ilvl="0" w:tplc="87BEF5C6">
      <w:start w:val="1"/>
      <w:numFmt w:val="bullet"/>
      <w:lvlText w:val="-"/>
      <w:lvlJc w:val="left"/>
      <w:pPr>
        <w:ind w:left="720" w:hanging="360"/>
      </w:p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4A711E7D"/>
    <w:multiLevelType w:val="hybridMultilevel"/>
    <w:tmpl w:val="8C90D12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68AB2C91"/>
    <w:multiLevelType w:val="hybridMultilevel"/>
    <w:tmpl w:val="0036930E"/>
    <w:lvl w:ilvl="0" w:tplc="87BEF5C6">
      <w:start w:val="1"/>
      <w:numFmt w:val="bullet"/>
      <w:lvlText w:val="-"/>
      <w:lvlJc w:val="left"/>
      <w:pPr>
        <w:ind w:left="1068" w:hanging="360"/>
      </w:pPr>
    </w:lvl>
    <w:lvl w:ilvl="1" w:tplc="2C0A0003" w:tentative="1">
      <w:start w:val="1"/>
      <w:numFmt w:val="bullet"/>
      <w:lvlText w:val="o"/>
      <w:lvlJc w:val="left"/>
      <w:pPr>
        <w:ind w:left="1788" w:hanging="360"/>
      </w:pPr>
      <w:rPr>
        <w:rFonts w:ascii="Courier New" w:hAnsi="Courier New" w:cs="Courier New" w:hint="default"/>
      </w:rPr>
    </w:lvl>
    <w:lvl w:ilvl="2" w:tplc="2C0A0005" w:tentative="1">
      <w:start w:val="1"/>
      <w:numFmt w:val="bullet"/>
      <w:lvlText w:val=""/>
      <w:lvlJc w:val="left"/>
      <w:pPr>
        <w:ind w:left="2508" w:hanging="360"/>
      </w:pPr>
      <w:rPr>
        <w:rFonts w:ascii="Wingdings" w:hAnsi="Wingdings" w:hint="default"/>
      </w:rPr>
    </w:lvl>
    <w:lvl w:ilvl="3" w:tplc="2C0A0001" w:tentative="1">
      <w:start w:val="1"/>
      <w:numFmt w:val="bullet"/>
      <w:lvlText w:val=""/>
      <w:lvlJc w:val="left"/>
      <w:pPr>
        <w:ind w:left="3228" w:hanging="360"/>
      </w:pPr>
      <w:rPr>
        <w:rFonts w:ascii="Symbol" w:hAnsi="Symbol" w:hint="default"/>
      </w:rPr>
    </w:lvl>
    <w:lvl w:ilvl="4" w:tplc="2C0A0003" w:tentative="1">
      <w:start w:val="1"/>
      <w:numFmt w:val="bullet"/>
      <w:lvlText w:val="o"/>
      <w:lvlJc w:val="left"/>
      <w:pPr>
        <w:ind w:left="3948" w:hanging="360"/>
      </w:pPr>
      <w:rPr>
        <w:rFonts w:ascii="Courier New" w:hAnsi="Courier New" w:cs="Courier New" w:hint="default"/>
      </w:rPr>
    </w:lvl>
    <w:lvl w:ilvl="5" w:tplc="2C0A0005" w:tentative="1">
      <w:start w:val="1"/>
      <w:numFmt w:val="bullet"/>
      <w:lvlText w:val=""/>
      <w:lvlJc w:val="left"/>
      <w:pPr>
        <w:ind w:left="4668" w:hanging="360"/>
      </w:pPr>
      <w:rPr>
        <w:rFonts w:ascii="Wingdings" w:hAnsi="Wingdings" w:hint="default"/>
      </w:rPr>
    </w:lvl>
    <w:lvl w:ilvl="6" w:tplc="2C0A0001" w:tentative="1">
      <w:start w:val="1"/>
      <w:numFmt w:val="bullet"/>
      <w:lvlText w:val=""/>
      <w:lvlJc w:val="left"/>
      <w:pPr>
        <w:ind w:left="5388" w:hanging="360"/>
      </w:pPr>
      <w:rPr>
        <w:rFonts w:ascii="Symbol" w:hAnsi="Symbol" w:hint="default"/>
      </w:rPr>
    </w:lvl>
    <w:lvl w:ilvl="7" w:tplc="2C0A0003" w:tentative="1">
      <w:start w:val="1"/>
      <w:numFmt w:val="bullet"/>
      <w:lvlText w:val="o"/>
      <w:lvlJc w:val="left"/>
      <w:pPr>
        <w:ind w:left="6108" w:hanging="360"/>
      </w:pPr>
      <w:rPr>
        <w:rFonts w:ascii="Courier New" w:hAnsi="Courier New" w:cs="Courier New" w:hint="default"/>
      </w:rPr>
    </w:lvl>
    <w:lvl w:ilvl="8" w:tplc="2C0A0005" w:tentative="1">
      <w:start w:val="1"/>
      <w:numFmt w:val="bullet"/>
      <w:lvlText w:val=""/>
      <w:lvlJc w:val="left"/>
      <w:pPr>
        <w:ind w:left="6828" w:hanging="360"/>
      </w:pPr>
      <w:rPr>
        <w:rFonts w:ascii="Wingdings" w:hAnsi="Wingdings" w:hint="default"/>
      </w:rPr>
    </w:lvl>
  </w:abstractNum>
  <w:abstractNum w:abstractNumId="11" w15:restartNumberingAfterBreak="0">
    <w:nsid w:val="743B3C9D"/>
    <w:multiLevelType w:val="hybridMultilevel"/>
    <w:tmpl w:val="1E96D446"/>
    <w:lvl w:ilvl="0" w:tplc="87BEF5C6">
      <w:start w:val="1"/>
      <w:numFmt w:val="bullet"/>
      <w:lvlText w:val="-"/>
      <w:lvlJc w:val="left"/>
      <w:pPr>
        <w:ind w:left="720" w:hanging="360"/>
      </w:p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2"/>
    <w:lvlOverride w:ilvl="0">
      <w:startOverride w:val="1"/>
    </w:lvlOverride>
  </w:num>
  <w:num w:numId="2">
    <w:abstractNumId w:val="4"/>
    <w:lvlOverride w:ilvl="0">
      <w:startOverride w:val="1"/>
    </w:lvlOverride>
  </w:num>
  <w:num w:numId="3">
    <w:abstractNumId w:val="1"/>
  </w:num>
  <w:num w:numId="4">
    <w:abstractNumId w:val="9"/>
  </w:num>
  <w:num w:numId="5">
    <w:abstractNumId w:val="7"/>
  </w:num>
  <w:num w:numId="6">
    <w:abstractNumId w:val="3"/>
  </w:num>
  <w:num w:numId="7">
    <w:abstractNumId w:val="4"/>
  </w:num>
  <w:num w:numId="8">
    <w:abstractNumId w:val="10"/>
  </w:num>
  <w:num w:numId="9">
    <w:abstractNumId w:val="8"/>
  </w:num>
  <w:num w:numId="10">
    <w:abstractNumId w:val="11"/>
  </w:num>
  <w:num w:numId="11">
    <w:abstractNumId w:val="6"/>
  </w:num>
  <w:num w:numId="12">
    <w:abstractNumId w:val="0"/>
    <w:lvlOverride w:ilvl="0">
      <w:startOverride w:val="1"/>
    </w:lvlOverride>
  </w:num>
  <w:num w:numId="13">
    <w:abstractNumId w:val="0"/>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676C"/>
    <w:rsid w:val="00091A42"/>
    <w:rsid w:val="000B5EE0"/>
    <w:rsid w:val="00484DE8"/>
    <w:rsid w:val="00A45C75"/>
    <w:rsid w:val="00B30BEB"/>
    <w:rsid w:val="00B3450A"/>
    <w:rsid w:val="00BB52B4"/>
    <w:rsid w:val="00BD0DA9"/>
    <w:rsid w:val="00C65E6F"/>
    <w:rsid w:val="00CF4069"/>
    <w:rsid w:val="00D63765"/>
    <w:rsid w:val="00E5676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4268227-44B4-40E1-BFEF-8C27567D9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E44CB0A5CFB7F469794F3E2F62947AF" ma:contentTypeVersion="3" ma:contentTypeDescription="Crear nuevo documento." ma:contentTypeScope="" ma:versionID="cb1f72ee30e379c8d0b22f69d9fb039c">
  <xsd:schema xmlns:xsd="http://www.w3.org/2001/XMLSchema" xmlns:xs="http://www.w3.org/2001/XMLSchema" xmlns:p="http://schemas.microsoft.com/office/2006/metadata/properties" xmlns:ns2="737e9a22-5258-4949-813c-b0f17db3d986" targetNamespace="http://schemas.microsoft.com/office/2006/metadata/properties" ma:root="true" ma:fieldsID="b3ab1eff0b27783f94b6dbf622b78ed5" ns2:_="">
    <xsd:import namespace="737e9a22-5258-4949-813c-b0f17db3d98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7e9a22-5258-4949-813c-b0f17db3d9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C327C42-7F5D-466A-A742-72BD7E5C957F}"/>
</file>

<file path=customXml/itemProps2.xml><?xml version="1.0" encoding="utf-8"?>
<ds:datastoreItem xmlns:ds="http://schemas.openxmlformats.org/officeDocument/2006/customXml" ds:itemID="{A85B7937-597F-4331-A324-F69BEC7A0AA9}"/>
</file>

<file path=customXml/itemProps3.xml><?xml version="1.0" encoding="utf-8"?>
<ds:datastoreItem xmlns:ds="http://schemas.openxmlformats.org/officeDocument/2006/customXml" ds:itemID="{C0783316-B9FF-4277-A17E-1B4B7053E0C8}"/>
</file>

<file path=docProps/app.xml><?xml version="1.0" encoding="utf-8"?>
<Properties xmlns="http://schemas.openxmlformats.org/officeDocument/2006/extended-properties" xmlns:vt="http://schemas.openxmlformats.org/officeDocument/2006/docPropsVTypes">
  <Template>Normal.dotm</Template>
  <TotalTime>131</TotalTime>
  <Pages>2</Pages>
  <Words>549</Words>
  <Characters>3022</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Cuenta Microsoft</cp:lastModifiedBy>
  <cp:revision>9</cp:revision>
  <dcterms:created xsi:type="dcterms:W3CDTF">2026-05-14T22:43:00Z</dcterms:created>
  <dcterms:modified xsi:type="dcterms:W3CDTF">2026-05-16T17:58:00Z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0x0101003E44CB0A5CFB7F469794F3E2F62947AF</vt:lpwstr>
  </property>
</Properties>
</file>