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95C" w:rsidRPr="00D9395C" w:rsidRDefault="00D9395C" w:rsidP="00D9395C">
      <w:pPr>
        <w:rPr>
          <w:b/>
          <w:bCs/>
        </w:rPr>
      </w:pPr>
      <w:r w:rsidRPr="00D9395C">
        <w:rPr>
          <w:b/>
          <w:bCs/>
        </w:rPr>
        <w:t xml:space="preserve">Citas textuales cortas </w:t>
      </w:r>
    </w:p>
    <w:p w:rsidR="00D9395C" w:rsidRPr="00D9395C" w:rsidRDefault="00D9395C" w:rsidP="00D9395C">
      <w:r w:rsidRPr="00D9395C">
        <w:rPr>
          <w:b/>
          <w:bCs/>
        </w:rPr>
        <w:t>1.</w:t>
      </w:r>
      <w:r w:rsidRPr="00D9395C">
        <w:t xml:space="preserve"> "La familia puede ser un factor protector o de riesgo para el desarrollo de TCA, siendo determinantes los niveles de expresión emocional, el modelamiento de patrones conductuales y la comorbilidad con otros trastornos a nivel de padres" (Camino De Menchaca, 2021, p. vii).</w:t>
      </w:r>
    </w:p>
    <w:p w:rsidR="00D9395C" w:rsidRPr="00D9395C" w:rsidRDefault="00D9395C" w:rsidP="00D9395C">
      <w:r w:rsidRPr="00D9395C">
        <w:rPr>
          <w:b/>
          <w:bCs/>
        </w:rPr>
        <w:t>2.</w:t>
      </w:r>
      <w:r w:rsidRPr="00D9395C">
        <w:t xml:space="preserve"> "Al ser la familia una entidad basada en vínculos, su funcionamiento cobra especial importancia en el desarrollo emocional de sus miembros y en su salud mental" (Camino De Menchaca, 2021, p. 3).</w:t>
      </w:r>
    </w:p>
    <w:p w:rsidR="00D9395C" w:rsidRPr="00D9395C" w:rsidRDefault="00D9395C" w:rsidP="00D9395C">
      <w:r w:rsidRPr="00D9395C">
        <w:pict>
          <v:rect id="_x0000_i1025" style="width:0;height:1.5pt" o:hralign="center" o:hrstd="t" o:hr="t" fillcolor="#a0a0a0" stroked="f"/>
        </w:pict>
      </w:r>
    </w:p>
    <w:p w:rsidR="00D9395C" w:rsidRDefault="00D9395C" w:rsidP="00D9395C">
      <w:pPr>
        <w:rPr>
          <w:b/>
          <w:bCs/>
        </w:rPr>
      </w:pPr>
      <w:r w:rsidRPr="00D9395C">
        <w:rPr>
          <w:b/>
          <w:bCs/>
        </w:rPr>
        <w:t xml:space="preserve">Citas textuales largas </w:t>
      </w:r>
    </w:p>
    <w:p w:rsidR="00D9395C" w:rsidRDefault="00D9395C" w:rsidP="00D9395C">
      <w:pPr>
        <w:rPr>
          <w:b/>
          <w:bCs/>
        </w:rPr>
      </w:pPr>
    </w:p>
    <w:p w:rsidR="00D9395C" w:rsidRPr="00D9395C" w:rsidRDefault="00D9395C" w:rsidP="00D9395C">
      <w:pPr>
        <w:rPr>
          <w:b/>
          <w:bCs/>
        </w:rPr>
      </w:pPr>
    </w:p>
    <w:p w:rsidR="00D9395C" w:rsidRPr="00D9395C" w:rsidRDefault="00D9395C" w:rsidP="00D9395C">
      <w:pPr>
        <w:rPr>
          <w:b/>
          <w:bCs/>
        </w:rPr>
      </w:pPr>
      <w:r w:rsidRPr="00D9395C">
        <w:rPr>
          <w:b/>
          <w:bCs/>
        </w:rPr>
        <w:t>1.</w:t>
      </w:r>
    </w:p>
    <w:p w:rsidR="00D9395C" w:rsidRDefault="00D9395C" w:rsidP="00D9395C">
      <w:r w:rsidRPr="00D9395C">
        <w:t>Los TCA constituyen un cuadro de gran relevancia social, ocupando el tercer lugar dentro de las enfermedades crónicas de la población femenina adolescente y presentan una tasa de mortalidad que oscila entre un 6% y un 12%. Además, los datos epidemiológicos sobre TCA detectan una mayor vulnerabilidad en las mujeres jóvenes, particularmente en la adolescencia o la adultez temprana, afectando significativamente la calidad de vida de la persona y de su contexto familiar. (Camino De Menchaca, 2021, p. 1)</w:t>
      </w:r>
    </w:p>
    <w:p w:rsidR="00D9395C" w:rsidRDefault="00D9395C" w:rsidP="00D9395C"/>
    <w:p w:rsidR="00D9395C" w:rsidRDefault="00D9395C" w:rsidP="00D9395C"/>
    <w:p w:rsidR="00D9395C" w:rsidRPr="00D9395C" w:rsidRDefault="00D9395C" w:rsidP="00D9395C"/>
    <w:p w:rsidR="00D9395C" w:rsidRPr="00D9395C" w:rsidRDefault="00D9395C" w:rsidP="00D9395C">
      <w:pPr>
        <w:rPr>
          <w:b/>
          <w:bCs/>
        </w:rPr>
      </w:pPr>
      <w:r w:rsidRPr="00D9395C">
        <w:rPr>
          <w:b/>
          <w:bCs/>
        </w:rPr>
        <w:t>2.</w:t>
      </w:r>
    </w:p>
    <w:p w:rsidR="00D9395C" w:rsidRPr="00D9395C" w:rsidRDefault="00D9395C" w:rsidP="00D9395C">
      <w:r w:rsidRPr="00D9395C">
        <w:t>El funcionamiento familiar presenta un impacto en el desarrollo de la bulimia y anorexia nerviosa en mujeres jóvenes y adolescentes, ya que factores como la intrusión, censura y crítica de los padres evidencian un bajo apoyo por parte de estos, generando un distanciamiento en los vínculos familiares. Ello junto con un excesivo control sobre la alimentación y la figura corporal, contribuyen a una insatisfacción e imagen negativa de sí mismo, incrementando el riesgo de que surja un TCA. (Camino De Menchaca, 2021, p. 25)</w:t>
      </w:r>
    </w:p>
    <w:p w:rsidR="00D9395C" w:rsidRDefault="00D9395C" w:rsidP="00D9395C"/>
    <w:p w:rsidR="00D9395C" w:rsidRDefault="00D9395C" w:rsidP="00D9395C"/>
    <w:p w:rsidR="00D9395C" w:rsidRDefault="00D9395C" w:rsidP="00D9395C"/>
    <w:p w:rsidR="00D9395C" w:rsidRDefault="00D9395C" w:rsidP="00D9395C"/>
    <w:p w:rsidR="00D9395C" w:rsidRDefault="00D9395C" w:rsidP="00D9395C"/>
    <w:p w:rsidR="00D9395C" w:rsidRDefault="00D9395C" w:rsidP="00D9395C"/>
    <w:p w:rsidR="00D9395C" w:rsidRDefault="00D9395C" w:rsidP="00D9395C"/>
    <w:p w:rsidR="00D9395C" w:rsidRPr="00D9395C" w:rsidRDefault="00D9395C" w:rsidP="00D9395C">
      <w:bookmarkStart w:id="0" w:name="_GoBack"/>
      <w:bookmarkEnd w:id="0"/>
    </w:p>
    <w:p w:rsidR="00D9395C" w:rsidRPr="00D9395C" w:rsidRDefault="00D9395C" w:rsidP="00D9395C">
      <w:pPr>
        <w:rPr>
          <w:b/>
          <w:bCs/>
        </w:rPr>
      </w:pPr>
      <w:r w:rsidRPr="00D9395C">
        <w:rPr>
          <w:b/>
          <w:bCs/>
        </w:rPr>
        <w:lastRenderedPageBreak/>
        <w:t>Citas indirectas (paráfrasis)</w:t>
      </w:r>
    </w:p>
    <w:p w:rsidR="00D9395C" w:rsidRPr="00D9395C" w:rsidRDefault="00D9395C" w:rsidP="00D9395C">
      <w:r w:rsidRPr="00D9395C">
        <w:rPr>
          <w:b/>
          <w:bCs/>
        </w:rPr>
        <w:t>1.</w:t>
      </w:r>
      <w:r w:rsidRPr="00D9395C">
        <w:t xml:space="preserve"> Camino De Menchaca (2021) señala que el funcionamiento familiar puede analizarse a través de dimensiones como la cohesión, la expresión, la organización y el nivel de conflicto, dado que la familia, al ser el entorno social primario, es el espacio donde se adquieren hábitos y conductas que perduran a lo largo de toda la vida.</w:t>
      </w:r>
    </w:p>
    <w:p w:rsidR="00D9395C" w:rsidRPr="00D9395C" w:rsidRDefault="00D9395C" w:rsidP="00D9395C">
      <w:r w:rsidRPr="00D9395C">
        <w:rPr>
          <w:b/>
          <w:bCs/>
        </w:rPr>
        <w:t>2.</w:t>
      </w:r>
      <w:r w:rsidRPr="00D9395C">
        <w:t xml:space="preserve"> Según Camino De Menchaca (2021), los tratamientos aplicados a pacientes con bulimia y anorexia nerviosa han mostrado mejoras solo en el 70% de los casos, mientras que entre el 20% y el 30% restante mantiene síntomas o recae en la enfermedad, lo que subraya la importancia de incorporar a la familia como parte activa del proceso terapéutico.</w:t>
      </w:r>
    </w:p>
    <w:p w:rsidR="00D9395C" w:rsidRPr="00D9395C" w:rsidRDefault="00D9395C" w:rsidP="00D9395C"/>
    <w:p w:rsidR="00EE576B" w:rsidRDefault="00EE576B"/>
    <w:sectPr w:rsidR="00EE57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0E9"/>
    <w:rsid w:val="004020E9"/>
    <w:rsid w:val="00D9395C"/>
    <w:rsid w:val="00E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94D9E0-6430-4BCE-8224-C4B6168C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9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39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44CB0A5CFB7F469794F3E2F62947AF" ma:contentTypeVersion="3" ma:contentTypeDescription="Crear nuevo documento." ma:contentTypeScope="" ma:versionID="cb1f72ee30e379c8d0b22f69d9fb039c">
  <xsd:schema xmlns:xsd="http://www.w3.org/2001/XMLSchema" xmlns:xs="http://www.w3.org/2001/XMLSchema" xmlns:p="http://schemas.microsoft.com/office/2006/metadata/properties" xmlns:ns2="737e9a22-5258-4949-813c-b0f17db3d986" targetNamespace="http://schemas.microsoft.com/office/2006/metadata/properties" ma:root="true" ma:fieldsID="b3ab1eff0b27783f94b6dbf622b78ed5" ns2:_="">
    <xsd:import namespace="737e9a22-5258-4949-813c-b0f17db3d9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e9a22-5258-4949-813c-b0f17db3d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69A061-28FF-4818-8D19-AE61526D17C0}"/>
</file>

<file path=customXml/itemProps2.xml><?xml version="1.0" encoding="utf-8"?>
<ds:datastoreItem xmlns:ds="http://schemas.openxmlformats.org/officeDocument/2006/customXml" ds:itemID="{EB0F6DD7-5767-43D0-B4E1-08440FA3A276}"/>
</file>

<file path=customXml/itemProps3.xml><?xml version="1.0" encoding="utf-8"?>
<ds:datastoreItem xmlns:ds="http://schemas.openxmlformats.org/officeDocument/2006/customXml" ds:itemID="{DC8950DB-752E-46C6-B490-8380ED791A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2026-05-28T01:01:00Z</dcterms:created>
  <dcterms:modified xsi:type="dcterms:W3CDTF">2026-05-28T01:03:00Z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0x0101003E44CB0A5CFB7F469794F3E2F62947AF</vt:lpwstr>
  </property>
</Properties>
</file>