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MEMORANDUM</w:t>
      </w:r>
    </w:p>
    <w:p>
      <w:pPr>
        <w:spacing w:after="40"/>
        <w:pBdr>
          <w:bottom w:val="single" w:sz="6" w:space="1" w:color="1A1A2E"/>
        </w:pBdr>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2"/>
          </w:tcPr>
          <w:p>
            <w:r>
              <w:rPr>
                <w:rFonts w:ascii="Calibri" w:hAnsi="Calibri"/>
                <w:b/>
                <w:sz w:val="22"/>
              </w:rPr>
              <w:t>To:</w:t>
            </w:r>
          </w:p>
        </w:tc>
        <w:tc>
          <w:tcPr>
            <w:tcW w:type="dxa" w:w="8208"/>
          </w:tcPr>
          <w:p>
            <w:r>
              <w:rPr>
                <w:rFonts w:ascii="Calibri" w:hAnsi="Calibri"/>
                <w:sz w:val="22"/>
              </w:rPr>
              <w:t>MiniClaw Integration Team</w:t>
            </w:r>
          </w:p>
        </w:tc>
      </w:tr>
      <w:tr>
        <w:tc>
          <w:tcPr>
            <w:tcW w:type="dxa" w:w="1152"/>
          </w:tcPr>
          <w:p>
            <w:r>
              <w:rPr>
                <w:rFonts w:ascii="Calibri" w:hAnsi="Calibri"/>
                <w:b/>
                <w:sz w:val="22"/>
              </w:rPr>
              <w:t>From:</w:t>
            </w:r>
          </w:p>
        </w:tc>
        <w:tc>
          <w:tcPr>
            <w:tcW w:type="dxa" w:w="8208"/>
          </w:tcPr>
          <w:p>
            <w:r>
              <w:rPr>
                <w:rFonts w:ascii="Calibri" w:hAnsi="Calibri"/>
                <w:sz w:val="22"/>
              </w:rPr>
              <w:t>Jordan Chen, Engineering Manager, Gripper Systems Division</w:t>
            </w:r>
          </w:p>
        </w:tc>
      </w:tr>
      <w:tr>
        <w:tc>
          <w:tcPr>
            <w:tcW w:type="dxa" w:w="1152"/>
          </w:tcPr>
          <w:p>
            <w:r>
              <w:rPr>
                <w:rFonts w:ascii="Calibri" w:hAnsi="Calibri"/>
                <w:b/>
                <w:sz w:val="22"/>
              </w:rPr>
              <w:t>Date:</w:t>
            </w:r>
          </w:p>
        </w:tc>
        <w:tc>
          <w:tcPr>
            <w:tcW w:type="dxa" w:w="8208"/>
          </w:tcPr>
          <w:p>
            <w:r>
              <w:rPr>
                <w:rFonts w:ascii="Calibri" w:hAnsi="Calibri"/>
                <w:sz w:val="22"/>
              </w:rPr>
              <w:t>May 26, 2026</w:t>
            </w:r>
          </w:p>
        </w:tc>
      </w:tr>
      <w:tr>
        <w:tc>
          <w:tcPr>
            <w:tcW w:type="dxa" w:w="1152"/>
          </w:tcPr>
          <w:p>
            <w:r>
              <w:rPr>
                <w:rFonts w:ascii="Calibri" w:hAnsi="Calibri"/>
                <w:b/>
                <w:sz w:val="22"/>
              </w:rPr>
              <w:t>Re:</w:t>
            </w:r>
          </w:p>
        </w:tc>
        <w:tc>
          <w:tcPr>
            <w:tcW w:type="dxa" w:w="8208"/>
          </w:tcPr>
          <w:p>
            <w:r>
              <w:rPr>
                <w:rFonts w:ascii="Calibri" w:hAnsi="Calibri"/>
                <w:sz w:val="22"/>
              </w:rPr>
              <w:t>Presenting MiniClaw to the broader product team</w:t>
            </w:r>
          </w:p>
        </w:tc>
      </w:tr>
      <w:tr>
        <w:tc>
          <w:tcPr>
            <w:tcW w:type="dxa" w:w="1152"/>
          </w:tcPr>
          <w:p>
            <w:r>
              <w:rPr>
                <w:rFonts w:ascii="Calibri" w:hAnsi="Calibri"/>
                <w:b/>
                <w:sz w:val="22"/>
              </w:rPr>
              <w:t>Priority:</w:t>
            </w:r>
          </w:p>
        </w:tc>
        <w:tc>
          <w:tcPr>
            <w:tcW w:type="dxa" w:w="8208"/>
          </w:tcPr>
          <w:p>
            <w:r>
              <w:rPr>
                <w:rFonts w:ascii="Calibri" w:hAnsi="Calibri"/>
                <w:sz w:val="22"/>
              </w:rPr>
              <w:t>Normal</w:t>
            </w:r>
          </w:p>
        </w:tc>
      </w:tr>
    </w:tbl>
    <w:p>
      <w:pPr>
        <w:spacing w:before="80" w:after="160"/>
        <w:pBdr>
          <w:bottom w:val="single" w:sz="6" w:space="1" w:color="1A1A2E"/>
        </w:pBdr>
      </w:pPr>
    </w:p>
    <w:p>
      <w:pPr>
        <w:spacing w:after="120"/>
      </w:pPr>
      <w:r>
        <w:rPr>
          <w:rFonts w:ascii="Calibri" w:hAnsi="Calibri"/>
          <w:sz w:val="22"/>
        </w:rPr>
        <w:t>I've read your Part B package. Linkage choice is defended, the gear pair math works, the trust assessment names what it doesn't know. That's the package we're presenting next week — not a clean one, an honest one. Good.</w:t>
      </w:r>
    </w:p>
    <w:p>
      <w:pPr>
        <w:spacing w:after="120"/>
      </w:pPr>
      <w:r>
        <w:rPr>
          <w:rFonts w:ascii="Calibri" w:hAnsi="Calibri"/>
          <w:sz w:val="22"/>
        </w:rPr>
        <w:t>Heads up on what's different about this presentation.</w:t>
      </w:r>
    </w:p>
    <w:p>
      <w:pPr>
        <w:spacing w:after="120"/>
      </w:pPr>
      <w:r>
        <w:rPr>
          <w:rFonts w:ascii="Calibri" w:hAnsi="Calibri"/>
          <w:b/>
          <w:sz w:val="22"/>
        </w:rPr>
        <w:t>Who's in the room</w:t>
      </w:r>
    </w:p>
    <w:p>
      <w:pPr>
        <w:spacing w:after="120"/>
      </w:pPr>
      <w:r>
        <w:rPr>
          <w:rFonts w:ascii="Calibri" w:hAnsi="Calibri"/>
          <w:sz w:val="22"/>
        </w:rPr>
        <w:t>This isn't a design review with me. The broader product team is coming — that includes leadership, marketing, fab, and a couple of the adjacent gripper groups. Marketing wants to understand what makes the MiniClaw worth showing at RobotExpo. Fab wants to know which of your DFM flags are going to hit them at the printer. Leadership wants to understand how this team used AI responsibly — where you trusted it, where you didn't, and how you can tell the difference.</w:t>
      </w:r>
    </w:p>
    <w:p>
      <w:pPr>
        <w:spacing w:after="120"/>
      </w:pPr>
      <w:r>
        <w:rPr>
          <w:rFonts w:ascii="Calibri" w:hAnsi="Calibri"/>
          <w:sz w:val="22"/>
        </w:rPr>
        <w:t>Three audiences, one presentation. Translate engineering judgment into something each of them can act on. The portfolio is the vehicle — walk us through the whole arc, MP1 through Part B, across the five pillars.</w:t>
      </w:r>
    </w:p>
    <w:p>
      <w:pPr>
        <w:spacing w:after="120"/>
      </w:pPr>
      <w:r>
        <w:rPr>
          <w:rFonts w:ascii="Calibri" w:hAnsi="Calibri"/>
          <w:b/>
          <w:sz w:val="22"/>
        </w:rPr>
        <w:t>One specific ask</w:t>
      </w:r>
    </w:p>
    <w:p>
      <w:pPr>
        <w:spacing w:after="120"/>
      </w:pPr>
      <w:r>
        <w:rPr>
          <w:rFonts w:ascii="Calibri" w:hAnsi="Calibri"/>
          <w:sz w:val="22"/>
        </w:rPr>
        <w:t>Pick one moment where the AI was wrong and you caught it. Tell that story explicitly. What did it claim, what was the truth, how did you notice, what did you do about it. That five-minute story is the most important thing the broader team will take from your presentation — more than the demo, more than the renders, more than the math. Everyone in that room is figuring out how to use these tools responsibly. You have nine weeks of evidence. Show one piece of it.</w:t>
      </w:r>
    </w:p>
    <w:p>
      <w:pPr>
        <w:spacing w:after="120"/>
      </w:pPr>
      <w:r>
        <w:rPr>
          <w:rFonts w:ascii="Calibri" w:hAnsi="Calibri"/>
          <w:b/>
          <w:sz w:val="22"/>
        </w:rPr>
        <w:t>Practical notes</w:t>
      </w:r>
    </w:p>
    <w:p>
      <w:pPr>
        <w:spacing w:after="120"/>
      </w:pPr>
      <w:r>
        <w:rPr>
          <w:rFonts w:ascii="Calibri" w:hAnsi="Calibri"/>
          <w:sz w:val="22"/>
        </w:rPr>
        <w:t>Fifteen minutes plus five for questions. Everyone on the team presents — doesn't matter how you split the time. Test your demo on the projector and the network you'll actually use; that's the thing that goes wrong, and it doesn't have to. If the demo breaks live, have a fallback and recover with grace — it's a real engineering skill and the room will respect it.</w:t>
      </w:r>
    </w:p>
    <w:p>
      <w:pPr>
        <w:spacing w:after="120"/>
      </w:pPr>
      <w:r>
        <w:rPr>
          <w:rFonts w:ascii="Calibri" w:hAnsi="Calibri"/>
          <w:sz w:val="22"/>
        </w:rPr>
        <w:t>Five projects in. You've earned this presentation. Don't sand the edges off your work trying to make it sound smoother — the honest version is the better version. Slack me with anything before the presentation. Good luck.</w:t>
      </w:r>
    </w:p>
    <w:p/>
    <w:p>
      <w:r>
        <w:rPr>
          <w:i/>
          <w:sz w:val="22"/>
        </w:rPr>
        <w:t>— Jordan</w:t>
      </w:r>
    </w:p>
    <w:p/>
    <w:p>
      <w:r>
        <w:rPr>
          <w:b/>
          <w:sz w:val="22"/>
        </w:rPr>
        <w:t>Jordan Chen</w:t>
      </w:r>
    </w:p>
    <w:p>
      <w:r>
        <w:rPr>
          <w:sz w:val="22"/>
        </w:rPr>
        <w:t>Engineering Manager, Gripper Systems Division</w:t>
      </w:r>
    </w:p>
    <w:p>
      <w:r>
        <w:rPr>
          <w:sz w:val="22"/>
        </w:rPr>
        <w:t>ACME Robotics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