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6"/>
        </w:rPr>
        <w:t>MEMORANDUM</w:t>
      </w:r>
    </w:p>
    <w:p>
      <w:pPr>
        <w:spacing w:after="40"/>
        <w:pBdr>
          <w:bottom w:val="single" w:sz="6" w:space="1" w:color="1A1A2E"/>
        </w:pBdr>
      </w:pP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1152"/>
          </w:tcPr>
          <w:p>
            <w:r>
              <w:rPr>
                <w:rFonts w:ascii="Calibri" w:hAnsi="Calibri"/>
                <w:b/>
                <w:sz w:val="22"/>
              </w:rPr>
              <w:t>To:</w:t>
            </w:r>
          </w:p>
        </w:tc>
        <w:tc>
          <w:tcPr>
            <w:tcW w:type="dxa" w:w="8208"/>
          </w:tcPr>
          <w:p>
            <w:r>
              <w:rPr>
                <w:rFonts w:ascii="Calibri" w:hAnsi="Calibri"/>
                <w:sz w:val="22"/>
              </w:rPr>
              <w:t>Engineering Team</w:t>
            </w:r>
          </w:p>
        </w:tc>
      </w:tr>
      <w:tr>
        <w:tc>
          <w:tcPr>
            <w:tcW w:type="dxa" w:w="1152"/>
          </w:tcPr>
          <w:p>
            <w:r>
              <w:rPr>
                <w:rFonts w:ascii="Calibri" w:hAnsi="Calibri"/>
                <w:b/>
                <w:sz w:val="22"/>
              </w:rPr>
              <w:t>From:</w:t>
            </w:r>
          </w:p>
        </w:tc>
        <w:tc>
          <w:tcPr>
            <w:tcW w:type="dxa" w:w="8208"/>
          </w:tcPr>
          <w:p>
            <w:r>
              <w:rPr>
                <w:rFonts w:ascii="Calibri" w:hAnsi="Calibri"/>
                <w:sz w:val="22"/>
              </w:rPr>
              <w:t>Jordan Chen, Engineering Manager, Gripper Systems Division</w:t>
            </w:r>
          </w:p>
        </w:tc>
      </w:tr>
      <w:tr>
        <w:tc>
          <w:tcPr>
            <w:tcW w:type="dxa" w:w="1152"/>
          </w:tcPr>
          <w:p>
            <w:r>
              <w:rPr>
                <w:rFonts w:ascii="Calibri" w:hAnsi="Calibri"/>
                <w:b/>
                <w:sz w:val="22"/>
              </w:rPr>
              <w:t>Date:</w:t>
            </w:r>
          </w:p>
        </w:tc>
        <w:tc>
          <w:tcPr>
            <w:tcW w:type="dxa" w:w="8208"/>
          </w:tcPr>
          <w:p>
            <w:r>
              <w:rPr>
                <w:rFonts w:ascii="Calibri" w:hAnsi="Calibri"/>
                <w:sz w:val="22"/>
              </w:rPr>
              <w:t>April 14, 2026</w:t>
            </w:r>
          </w:p>
        </w:tc>
      </w:tr>
      <w:tr>
        <w:tc>
          <w:tcPr>
            <w:tcW w:type="dxa" w:w="1152"/>
          </w:tcPr>
          <w:p>
            <w:r>
              <w:rPr>
                <w:rFonts w:ascii="Calibri" w:hAnsi="Calibri"/>
                <w:b/>
                <w:sz w:val="22"/>
              </w:rPr>
              <w:t>Re:</w:t>
            </w:r>
          </w:p>
        </w:tc>
        <w:tc>
          <w:tcPr>
            <w:tcW w:type="dxa" w:w="8208"/>
          </w:tcPr>
          <w:p>
            <w:r>
              <w:rPr>
                <w:rFonts w:ascii="Calibri" w:hAnsi="Calibri"/>
                <w:sz w:val="22"/>
              </w:rPr>
              <w:t>MiniClaw Project — Research Phase Before Detailed Design</w:t>
            </w:r>
          </w:p>
        </w:tc>
      </w:tr>
    </w:tbl>
    <w:p>
      <w:pPr>
        <w:spacing w:before="80" w:after="160"/>
        <w:pBdr>
          <w:bottom w:val="single" w:sz="6" w:space="1" w:color="1A1A2E"/>
        </w:pBdr>
      </w:pPr>
    </w:p>
    <w:p>
      <w:pPr>
        <w:spacing w:after="120"/>
      </w:pPr>
      <w:r>
        <w:rPr>
          <w:rFonts w:ascii="Calibri" w:hAnsi="Calibri"/>
          <w:sz w:val="22"/>
        </w:rPr>
        <w:t>I’ve reviewed the gear train designs from the initial MiniClaw assignment, and I want to start with the good news: this team showed real initiative. The AI-assisted approach generated concepts fast, and several of you came up with creative gear train configurations I wouldn’t have thought of immediately. There’s genuine engineering talent in these submissions.</w:t>
      </w:r>
    </w:p>
    <w:p>
      <w:pPr>
        <w:spacing w:after="120"/>
      </w:pPr>
      <w:r>
        <w:rPr>
          <w:rFonts w:ascii="Calibri" w:hAnsi="Calibri"/>
          <w:sz w:val="22"/>
        </w:rPr>
        <w:t>Now the harder conversation. Looking at the designs more carefully, I’m seeing the same pattern I see in early-career engineers who jump to solutions before doing their homework. Too many of these designs were built on generic data instead of ACME’s actual capabilities, and that means rework.</w:t>
      </w:r>
    </w:p>
    <w:p>
      <w:pPr>
        <w:spacing w:after="120"/>
      </w:pPr>
      <w:r>
        <w:rPr>
          <w:rFonts w:ascii="Calibri" w:hAnsi="Calibri"/>
          <w:b/>
          <w:sz w:val="22"/>
        </w:rPr>
        <w:t>What I’m seeing</w:t>
      </w:r>
    </w:p>
    <w:p>
      <w:pPr>
        <w:spacing w:after="120"/>
      </w:pPr>
      <w:r>
        <w:rPr>
          <w:rFonts w:ascii="Calibri" w:hAnsi="Calibri"/>
          <w:sz w:val="22"/>
        </w:rPr>
        <w:t>Several designs used PLA material properties pulled straight from the internet — datasheets from random filament brands, generic FDM specifications, material values that don’t match what comes off our printers. We run Prusa MK4S machines with 0.4 mm nozzles, printing FilaTech PolyPro PLA+. That’s a specific material with specific properties that we’ve actually tested in our lab. The interlayer adhesion number alone is significantly different from what you’ll find on a generic PLA datasheet, and for gear teeth, that’s the number that matters.</w:t>
      </w:r>
    </w:p>
    <w:p>
      <w:pPr>
        <w:spacing w:after="120"/>
      </w:pPr>
      <w:r>
        <w:rPr>
          <w:rFonts w:ascii="Calibri" w:hAnsi="Calibri"/>
          <w:sz w:val="22"/>
        </w:rPr>
        <w:t>Some designs specified tolerances our print shop can’t hold, or used gear parameters that our internal guidelines specifically warn against. A few of you designed every component from scratch when ACME already has a component library from the WidgetBot and GripperBot projects — brass pin stock, thumb wheel blanks, silicone grip pads, all sitting on the shelf. Nobody asked about our vendor relationship with FilaTech or what the fab team’s actual tolerance capabilities are.</w:t>
      </w:r>
    </w:p>
    <w:p>
      <w:pPr>
        <w:spacing w:after="120"/>
      </w:pPr>
      <w:r>
        <w:rPr>
          <w:rFonts w:ascii="Calibri" w:hAnsi="Calibri"/>
          <w:sz w:val="22"/>
        </w:rPr>
        <w:t>In industry, jumping to design before doing your homework costs real money. We caught it early this time. Let’s do the research phase right.</w:t>
      </w:r>
    </w:p>
    <w:p>
      <w:pPr>
        <w:spacing w:after="120"/>
      </w:pPr>
      <w:r>
        <w:rPr>
          <w:rFonts w:ascii="Calibri" w:hAnsi="Calibri"/>
          <w:b/>
          <w:sz w:val="22"/>
        </w:rPr>
        <w:t>What I need from you</w:t>
      </w:r>
    </w:p>
    <w:p>
      <w:pPr>
        <w:spacing w:after="120"/>
      </w:pPr>
      <w:r>
        <w:rPr>
          <w:rFonts w:ascii="Calibri" w:hAnsi="Calibri"/>
          <w:sz w:val="22"/>
        </w:rPr>
        <w:t>I’m sharing access to the ACME internal knowledge base — about 15 documents covering our manufacturing capabilities, material test data, previous product history, engineering design standards, vendor communications, and project status. This is the information your designs should have been built on. Use it.</w:t>
      </w:r>
    </w:p>
    <w:p>
      <w:pPr>
        <w:spacing w:after="120"/>
      </w:pPr>
      <w:r>
        <w:rPr>
          <w:rFonts w:ascii="Calibri" w:hAnsi="Calibri"/>
          <w:sz w:val="22"/>
        </w:rPr>
        <w:t>In two weeks, I need the following from each of you:</w:t>
      </w:r>
    </w:p>
    <w:p>
      <w:pPr>
        <w:pStyle w:val="ListBullet"/>
      </w:pPr>
      <w:r>
        <w:rPr>
          <w:sz w:val="22"/>
        </w:rPr>
        <w:t>A research package that demonstrates you’ve actually reviewed the company knowledge base. I want to see evidence that you understand ACME’s manufacturing capabilities, material properties, and lessons learned from previous projects.</w:t>
      </w:r>
    </w:p>
    <w:p>
      <w:pPr>
        <w:pStyle w:val="ListBullet"/>
      </w:pPr>
      <w:r>
        <w:rPr>
          <w:sz w:val="22"/>
        </w:rPr>
        <w:t>An honest assessment of what you know versus what you still need to find out. I value intellectual honesty over false confidence. If you don’t know something, say so and explain how you’d find the answer.</w:t>
      </w:r>
    </w:p>
    <w:p>
      <w:pPr>
        <w:pStyle w:val="ListBullet"/>
      </w:pPr>
      <w:r>
        <w:rPr>
          <w:sz w:val="22"/>
        </w:rPr>
        <w:t>A working set of product requirements grounded in ACME’s actual capabilities. The requirements from MP1 were a starting point, but now they should reflect our real print tolerances, our tested material properties, and our production constraints.</w:t>
      </w:r>
    </w:p>
    <w:p>
      <w:pPr>
        <w:pStyle w:val="ListBullet"/>
      </w:pPr>
      <w:r>
        <w:rPr>
          <w:sz w:val="22"/>
        </w:rPr>
        <w:t>A preliminary design direction with rationale. Not a final design — a well-reasoned concept that accounts for what you’ve learned from the ACME knowledge base.</w:t>
      </w:r>
    </w:p>
    <w:p>
      <w:pPr>
        <w:spacing w:after="120"/>
      </w:pPr>
      <w:r>
        <w:rPr>
          <w:rFonts w:ascii="Calibri" w:hAnsi="Calibri"/>
          <w:b/>
          <w:sz w:val="22"/>
        </w:rPr>
        <w:t>Key context you should know</w:t>
      </w:r>
    </w:p>
    <w:p>
      <w:pPr>
        <w:spacing w:after="120"/>
      </w:pPr>
      <w:r>
        <w:rPr>
          <w:rFonts w:ascii="Calibri" w:hAnsi="Calibri"/>
          <w:sz w:val="22"/>
        </w:rPr>
        <w:t>Our print shop runs 12 Prusa MK4S printers with 0.4 mm nozzles as standard. Designs need to respect their actual capabilities, not generic FDM specs from the internet. Maria Santos and the fab team have documented everything — achievable tolerances, press-fit guidelines, pin minimums, print orientation rules. It’s all in the knowledge base.</w:t>
      </w:r>
    </w:p>
    <w:p>
      <w:pPr>
        <w:spacing w:after="120"/>
      </w:pPr>
      <w:r>
        <w:rPr>
          <w:rFonts w:ascii="Calibri" w:hAnsi="Calibri"/>
          <w:sz w:val="22"/>
        </w:rPr>
        <w:t>We’ve printed gears before. The WidgetBot 2.0 project used PLA spur gears, and Elena Vasquez ran a full fatigue test program on them. There’s test data in the company files, including failure analysis at various torque levels. The results will change how you think about safety factors for printed gears. Read the test report.</w:t>
      </w:r>
    </w:p>
    <w:p>
      <w:pPr>
        <w:spacing w:after="120"/>
      </w:pPr>
      <w:r>
        <w:rPr>
          <w:rFonts w:ascii="Calibri" w:hAnsi="Calibri"/>
          <w:sz w:val="22"/>
        </w:rPr>
        <w:t>The RobotExpo deadline is firm: June 10–12. The fab team needs final design files by May 15 to produce 500+ units on our printer fleet. That gives us about a month between your research phase and the detailed design that follows. The research phase needs to happen now — there is no slack in this schedule.</w:t>
      </w:r>
    </w:p>
    <w:p>
      <w:pPr>
        <w:spacing w:after="120"/>
      </w:pPr>
      <w:r>
        <w:rPr>
          <w:rFonts w:ascii="Calibri" w:hAnsi="Calibri"/>
          <w:b/>
          <w:sz w:val="22"/>
        </w:rPr>
        <w:t>Looking ahead</w:t>
      </w:r>
    </w:p>
    <w:p>
      <w:pPr>
        <w:spacing w:after="120"/>
      </w:pPr>
      <w:r>
        <w:rPr>
          <w:rFonts w:ascii="Calibri" w:hAnsi="Calibri"/>
          <w:sz w:val="22"/>
        </w:rPr>
        <w:t>I’ll review the research packages when they come in and then greenlight the detailed design phase. Think of this as doing the homework so that the next phase goes smoothly. It’s a lot cheaper to spend two weeks researching than two weeks reworking a design that was built on bad assumptions.</w:t>
      </w:r>
    </w:p>
    <w:p>
      <w:pPr>
        <w:spacing w:after="120"/>
      </w:pPr>
      <w:r>
        <w:rPr>
          <w:rFonts w:ascii="Calibri" w:hAnsi="Calibri"/>
          <w:sz w:val="22"/>
        </w:rPr>
        <w:t>The MiniClaw is a strategic project with visibility to our VP of Engineering. Let’s get the foundation right.</w:t>
      </w:r>
    </w:p>
    <w:p/>
    <w:p>
      <w:r>
        <w:rPr>
          <w:b/>
          <w:sz w:val="22"/>
        </w:rPr>
        <w:t>Jordan Chen</w:t>
      </w:r>
    </w:p>
    <w:p>
      <w:r>
        <w:rPr>
          <w:sz w:val="22"/>
        </w:rPr>
        <w:t>Engineering Manager, Gripper Systems Division</w:t>
      </w:r>
    </w:p>
    <w:p>
      <w:r>
        <w:rPr>
          <w:sz w:val="22"/>
        </w:rPr>
        <w:t>ACME Robotics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